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Calibri" w:hAnsi="Times New Roman" w:cs="Times New Roman"/>
          <w:i/>
          <w:iCs/>
          <w:smallCaps/>
          <w:color w:val="44546A"/>
          <w:spacing w:val="5"/>
          <w:sz w:val="22"/>
          <w:lang w:eastAsia="en-US"/>
        </w:rPr>
        <w:id w:val="-1438678155"/>
        <w:docPartObj>
          <w:docPartGallery w:val="Cover Pages"/>
          <w:docPartUnique/>
        </w:docPartObj>
      </w:sdtPr>
      <w:sdtEndPr>
        <w:rPr>
          <w:i w:val="0"/>
          <w:iCs w:val="0"/>
          <w:smallCaps w:val="0"/>
          <w:color w:val="auto"/>
          <w:spacing w:val="0"/>
        </w:rPr>
      </w:sdtEndPr>
      <w:sdtContent>
        <w:sdt>
          <w:sdtPr>
            <w:rPr>
              <w:rFonts w:ascii="Times New Roman" w:eastAsia="Calibri" w:hAnsi="Times New Roman" w:cs="Times New Roman"/>
              <w:i/>
              <w:iCs/>
              <w:smallCaps/>
              <w:color w:val="44546A"/>
              <w:spacing w:val="5"/>
              <w:sz w:val="22"/>
              <w:lang w:eastAsia="en-US"/>
            </w:rPr>
            <w:id w:val="-394121777"/>
            <w:docPartObj>
              <w:docPartGallery w:val="Watermarks"/>
            </w:docPartObj>
          </w:sdtPr>
          <w:sdtEndPr/>
          <w:sdtContent>
            <w:p w14:paraId="4F9E2075" w14:textId="3CAA81C8" w:rsidR="00624126" w:rsidRPr="00624126" w:rsidRDefault="00683B8A" w:rsidP="00624126">
              <w:pPr>
                <w:spacing w:before="0" w:after="200" w:line="276" w:lineRule="auto"/>
                <w:jc w:val="both"/>
                <w:rPr>
                  <w:rFonts w:ascii="Times New Roman" w:eastAsia="Calibri" w:hAnsi="Times New Roman" w:cs="Times New Roman"/>
                  <w:smallCaps/>
                  <w:color w:val="44546A"/>
                  <w:spacing w:val="5"/>
                </w:rPr>
              </w:pPr>
              <w:r w:rsidRPr="00683B8A">
                <w:rPr>
                  <w:rFonts w:ascii="Times New Roman" w:eastAsia="Calibri" w:hAnsi="Times New Roman" w:cs="Times New Roman"/>
                  <w:i/>
                  <w:iCs/>
                  <w:smallCaps/>
                  <w:noProof/>
                  <w:color w:val="44546A"/>
                  <w:spacing w:val="5"/>
                  <w:sz w:val="22"/>
                  <w:lang w:eastAsia="en-US"/>
                </w:rPr>
                <mc:AlternateContent>
                  <mc:Choice Requires="wps">
                    <w:drawing>
                      <wp:anchor distT="0" distB="0" distL="114300" distR="114300" simplePos="0" relativeHeight="251680768" behindDoc="1" locked="0" layoutInCell="0" allowOverlap="1" wp14:anchorId="6C266842" wp14:editId="5AF3ECAD">
                        <wp:simplePos x="0" y="0"/>
                        <wp:positionH relativeFrom="margin">
                          <wp:align>center</wp:align>
                        </wp:positionH>
                        <wp:positionV relativeFrom="margin">
                          <wp:align>center</wp:align>
                        </wp:positionV>
                        <wp:extent cx="5237480" cy="3142615"/>
                        <wp:effectExtent l="0" t="1143000" r="0" b="65786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643B72" w14:textId="66EB531A" w:rsidR="00683B8A" w:rsidRDefault="00683B8A" w:rsidP="00683B8A">
                                    <w:pPr>
                                      <w:jc w:val="center"/>
                                      <w:rPr>
                                        <w:rFonts w:ascii="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266842" id="_x0000_t202" coordsize="21600,21600" o:spt="202" path="m,l,21600r21600,l21600,xe">
                        <v:stroke joinstyle="miter"/>
                        <v:path gradientshapeok="t" o:connecttype="rect"/>
                      </v:shapetype>
                      <v:shape id="Text Box 7" o:spid="_x0000_s1026" type="#_x0000_t202" style="position:absolute;left:0;text-align:left;margin-left:0;margin-top:0;width:412.4pt;height:247.45pt;rotation:-45;z-index:-251635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2D643B72" w14:textId="66EB531A" w:rsidR="00683B8A" w:rsidRDefault="00683B8A" w:rsidP="00683B8A">
                              <w:pPr>
                                <w:jc w:val="center"/>
                                <w:rPr>
                                  <w:rFonts w:ascii="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p>
          </w:sdtContent>
        </w:sdt>
        <w:p w14:paraId="00500917" w14:textId="77777777" w:rsidR="00624126" w:rsidRPr="00624126" w:rsidRDefault="00624126" w:rsidP="00624126">
          <w:pPr>
            <w:spacing w:before="0" w:after="200" w:line="276" w:lineRule="auto"/>
            <w:jc w:val="both"/>
            <w:rPr>
              <w:rFonts w:ascii="Times New Roman" w:eastAsia="Calibri" w:hAnsi="Times New Roman" w:cs="Times New Roman"/>
              <w:i/>
              <w:iCs/>
              <w:smallCaps/>
              <w:color w:val="44546A"/>
              <w:spacing w:val="5"/>
            </w:rPr>
          </w:pPr>
        </w:p>
        <w:p w14:paraId="19797001" w14:textId="77777777" w:rsidR="00624126" w:rsidRPr="00624126" w:rsidRDefault="00624126" w:rsidP="00624126">
          <w:pPr>
            <w:spacing w:before="0" w:after="200" w:line="276" w:lineRule="auto"/>
            <w:jc w:val="both"/>
            <w:rPr>
              <w:rFonts w:ascii="Times New Roman" w:eastAsia="Calibri" w:hAnsi="Times New Roman" w:cs="Times New Roman"/>
              <w:i/>
              <w:iCs/>
              <w:smallCaps/>
              <w:color w:val="44546A"/>
              <w:spacing w:val="5"/>
            </w:rPr>
          </w:pPr>
        </w:p>
        <w:p w14:paraId="62CA9620" w14:textId="77777777" w:rsidR="00624126" w:rsidRPr="00624126" w:rsidRDefault="00624126" w:rsidP="00624126">
          <w:pPr>
            <w:spacing w:before="0" w:after="200" w:line="276" w:lineRule="auto"/>
            <w:jc w:val="both"/>
            <w:rPr>
              <w:rFonts w:ascii="Times New Roman" w:eastAsia="Calibri" w:hAnsi="Times New Roman" w:cs="Times New Roman"/>
              <w:i/>
              <w:iCs/>
              <w:smallCaps/>
              <w:color w:val="44546A"/>
              <w:spacing w:val="5"/>
            </w:rPr>
          </w:pPr>
          <w:r w:rsidRPr="00624126">
            <w:rPr>
              <w:rFonts w:ascii="Times New Roman" w:eastAsia="Calibri" w:hAnsi="Times New Roman" w:cs="Times New Roman"/>
              <w:i/>
              <w:iCs/>
              <w:smallCaps/>
              <w:noProof/>
              <w:color w:val="44546A"/>
              <w:spacing w:val="5"/>
              <w:lang w:eastAsia="en-US"/>
            </w:rPr>
            <w:drawing>
              <wp:anchor distT="0" distB="0" distL="114300" distR="114300" simplePos="0" relativeHeight="251678720" behindDoc="0" locked="0" layoutInCell="1" allowOverlap="1" wp14:anchorId="3B8D3890" wp14:editId="33BFBEE2">
                <wp:simplePos x="0" y="0"/>
                <wp:positionH relativeFrom="column">
                  <wp:posOffset>0</wp:posOffset>
                </wp:positionH>
                <wp:positionV relativeFrom="paragraph">
                  <wp:posOffset>0</wp:posOffset>
                </wp:positionV>
                <wp:extent cx="6400800" cy="2171065"/>
                <wp:effectExtent l="0" t="0" r="0" b="635"/>
                <wp:wrapSquare wrapText="bothSides"/>
                <wp:docPr id="1057" name="Picture 1057" descr="C:\Users\jjanec\Documents\Pictures\stacked NHSColle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janec\Documents\Pictures\stacked NHSColle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2171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EE47F0" w14:textId="77777777" w:rsidR="00624126" w:rsidRPr="00624126" w:rsidRDefault="00624126" w:rsidP="00624126">
          <w:pPr>
            <w:spacing w:before="0" w:after="200" w:line="276" w:lineRule="auto"/>
            <w:jc w:val="center"/>
            <w:rPr>
              <w:rFonts w:ascii="Calibri" w:eastAsia="Calibri" w:hAnsi="Calibri" w:cs="Calibri"/>
              <w:smallCaps/>
              <w:color w:val="5B9BD5"/>
              <w:spacing w:val="10"/>
              <w:sz w:val="44"/>
              <w:szCs w:val="44"/>
            </w:rPr>
          </w:pPr>
          <w:r w:rsidRPr="00624126">
            <w:rPr>
              <w:rFonts w:ascii="Calibri" w:eastAsia="Calibri" w:hAnsi="Calibri" w:cs="Calibri"/>
              <w:smallCaps/>
              <w:noProof/>
              <w:color w:val="5B9BD5"/>
              <w:spacing w:val="10"/>
              <w:sz w:val="44"/>
              <w:szCs w:val="44"/>
              <w:lang w:eastAsia="en-US"/>
            </w:rPr>
            <mc:AlternateContent>
              <mc:Choice Requires="wpg">
                <w:drawing>
                  <wp:anchor distT="0" distB="0" distL="114300" distR="114300" simplePos="0" relativeHeight="251635712" behindDoc="0" locked="0" layoutInCell="1" hidden="0" allowOverlap="1" wp14:anchorId="5E0AC462" wp14:editId="5E1CCD19">
                    <wp:simplePos x="0" y="0"/>
                    <mc:AlternateContent>
                      <mc:Choice Requires="wp14">
                        <wp:positionH relativeFrom="margin">
                          <wp14:pctPosHOffset>77000</wp14:pctPosHOffset>
                        </wp:positionH>
                      </mc:Choice>
                      <mc:Fallback>
                        <wp:positionH relativeFrom="page">
                          <wp:posOffset>5758180</wp:posOffset>
                        </wp:positionH>
                      </mc:Fallback>
                    </mc:AlternateContent>
                    <wp:positionV relativeFrom="bottomMargin">
                      <wp:posOffset>9144000</wp:posOffset>
                    </wp:positionV>
                    <wp:extent cx="548640" cy="548640"/>
                    <wp:effectExtent l="6764655" t="9332595" r="6764655" b="9332595"/>
                    <wp:wrapNone/>
                    <wp:docPr id="1055" name="shape1026"/>
                    <wp:cNvGraphicFramePr/>
                    <a:graphic xmlns:a="http://schemas.openxmlformats.org/drawingml/2006/main">
                      <a:graphicData uri="http://schemas.microsoft.com/office/word/2010/wordprocessingGroup">
                        <wpg:wgp>
                          <wpg:cNvGrpSpPr/>
                          <wpg:grpSpPr>
                            <a:xfrm>
                              <a:off x="0" y="0"/>
                              <a:ext cx="548640" cy="548640"/>
                              <a:chOff x="10653" y="14697"/>
                              <a:chExt cx="864" cy="864"/>
                            </a:xfrm>
                          </wpg:grpSpPr>
                          <wps:wsp>
                            <wps:cNvPr id="1056" name="child 1"/>
                            <wps:cNvSpPr>
                              <a:spLocks/>
                            </wps:cNvSpPr>
                            <wps:spPr>
                              <a:xfrm flipH="1">
                                <a:off x="10860" y="14898"/>
                                <a:ext cx="297" cy="303"/>
                              </a:xfrm>
                              <a:prstGeom prst="ellipse">
                                <a:avLst/>
                              </a:prstGeom>
                              <a:solidFill>
                                <a:srgbClr val="FE8637"/>
                              </a:solidFill>
                              <a:ln w="38100" cmpd="dbl">
                                <a:solidFill>
                                  <a:srgbClr val="FE8637"/>
                                </a:solidFill>
                              </a:ln>
                            </wps:spPr>
                            <wps:bodyPr rot="0" vert="horz" wrap="square" lIns="91440" tIns="45720" rIns="91440" bIns="45720" anchor="t" upright="1">
                              <a:noAutofit/>
                            </wps:bodyPr>
                          </wps:wsp>
                          <wps:wsp>
                            <wps:cNvPr id="1058" name="child 2"/>
                            <wps:cNvSpPr>
                              <a:spLocks/>
                            </wps:cNvSpPr>
                            <wps:spPr>
                              <a:xfrm>
                                <a:off x="10653" y="14697"/>
                                <a:ext cx="864" cy="864"/>
                              </a:xfrm>
                              <a:prstGeom prst="rect">
                                <a:avLst/>
                              </a:prstGeom>
                              <a:noFill/>
                              <a:ln>
                                <a:noFill/>
                              </a:ln>
                            </wps:spPr>
                            <wps:bodyPr rot="0" vert="horz" wrap="square" lIns="91440" tIns="45720" rIns="91440" bIns="45720" anchor="t" upright="1">
                              <a:noAutofit/>
                            </wps:bodyPr>
                          </wps:wsp>
                        </wpg:wgp>
                      </a:graphicData>
                    </a:graphic>
                  </wp:anchor>
                </w:drawing>
              </mc:Choice>
              <mc:Fallback>
                <w:pict>
                  <v:group w14:anchorId="6E24F502" id="shape1026" o:spid="_x0000_s1026" style="position:absolute;margin-left:0;margin-top:10in;width:43.2pt;height:43.2pt;z-index:251635712;mso-left-percent:770;mso-position-horizontal-relative:margin;mso-position-vertical-relative:bottom-margin-area;mso-left-percent:770"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AOSB4uMAgAA7gYAAA4AAAAAAAAAAAAAAAAALgIAAGRycy9lMm9Eb2MueG1sUEsBAi0AFAAG&#10;AAgAAAAhAJD8SdLcAAAACQEAAA8AAAAAAAAAAAAAAAAA5gQAAGRycy9kb3ducmV2LnhtbFBLBQYA&#10;AAAABAAEAPMAAADvBQAAAAA=&#10;">
                    <v:oval id="child 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" fillcolor="#fe8637" strokecolor="#fe8637" strokeweight="3pt">
                      <v:stroke linestyle="thinThin"/>
                      <v:path arrowok="t"/>
                    </v:oval>
                    <v:rect id="child 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" filled="f" stroked="f"/>
                    <w10:wrap anchorx="margin" anchory="margin"/>
                  </v:group>
                </w:pict>
              </mc:Fallback>
            </mc:AlternateContent>
          </w:r>
          <w:r w:rsidRPr="00624126">
            <w:rPr>
              <w:rFonts w:ascii="Calibri" w:eastAsia="Calibri" w:hAnsi="Calibri" w:cs="Calibri"/>
              <w:smallCaps/>
              <w:noProof/>
              <w:color w:val="5B9BD5"/>
              <w:spacing w:val="10"/>
              <w:sz w:val="44"/>
              <w:szCs w:val="44"/>
              <w:lang w:eastAsia="en-US"/>
            </w:rPr>
            <mc:AlternateContent>
              <mc:Choice Requires="wpg">
                <w:drawing>
                  <wp:anchor distT="0" distB="0" distL="114300" distR="114300" simplePos="0" relativeHeight="251637760" behindDoc="0" locked="0" layoutInCell="1" hidden="0" allowOverlap="1" wp14:anchorId="11F52EB2" wp14:editId="060D2AC0">
                    <wp:simplePos x="0" y="0"/>
                    <mc:AlternateContent>
                      <mc:Choice Requires="wp14">
                        <wp:positionH relativeFrom="margin">
                          <wp14:pctPosHOffset>77000</wp14:pctPosHOffset>
                        </wp:positionH>
                      </mc:Choice>
                      <mc:Fallback>
                        <wp:positionH relativeFrom="page">
                          <wp:posOffset>5758180</wp:posOffset>
                        </wp:positionH>
                      </mc:Fallback>
                    </mc:AlternateContent>
                    <wp:positionV relativeFrom="bottomMargin">
                      <wp:posOffset>9144000</wp:posOffset>
                    </wp:positionV>
                    <wp:extent cx="548640" cy="548640"/>
                    <wp:effectExtent l="6764655" t="9332595" r="6764655" b="9332595"/>
                    <wp:wrapNone/>
                    <wp:docPr id="1059" name="shape1029"/>
                    <wp:cNvGraphicFramePr/>
                    <a:graphic xmlns:a="http://schemas.openxmlformats.org/drawingml/2006/main">
                      <a:graphicData uri="http://schemas.microsoft.com/office/word/2010/wordprocessingGroup">
                        <wpg:wgp>
                          <wpg:cNvGrpSpPr/>
                          <wpg:grpSpPr>
                            <a:xfrm>
                              <a:off x="0" y="0"/>
                              <a:ext cx="548640" cy="548640"/>
                              <a:chOff x="10653" y="14697"/>
                              <a:chExt cx="864" cy="864"/>
                            </a:xfrm>
                          </wpg:grpSpPr>
                          <wps:wsp>
                            <wps:cNvPr id="1060" name="child 1"/>
                            <wps:cNvSpPr>
                              <a:spLocks/>
                            </wps:cNvSpPr>
                            <wps:spPr>
                              <a:xfrm flipH="1">
                                <a:off x="10860" y="14898"/>
                                <a:ext cx="297" cy="303"/>
                              </a:xfrm>
                              <a:prstGeom prst="ellipse">
                                <a:avLst/>
                              </a:prstGeom>
                              <a:solidFill>
                                <a:srgbClr val="FE8637"/>
                              </a:solidFill>
                              <a:ln w="38100" cmpd="dbl">
                                <a:solidFill>
                                  <a:srgbClr val="FE8637"/>
                                </a:solidFill>
                              </a:ln>
                            </wps:spPr>
                            <wps:bodyPr rot="0" vert="horz" wrap="square" lIns="91440" tIns="45720" rIns="91440" bIns="45720" anchor="t" upright="1">
                              <a:noAutofit/>
                            </wps:bodyPr>
                          </wps:wsp>
                          <wps:wsp>
                            <wps:cNvPr id="1061" name="child 2"/>
                            <wps:cNvSpPr>
                              <a:spLocks/>
                            </wps:cNvSpPr>
                            <wps:spPr>
                              <a:xfrm>
                                <a:off x="10653" y="14697"/>
                                <a:ext cx="864" cy="864"/>
                              </a:xfrm>
                              <a:prstGeom prst="rect">
                                <a:avLst/>
                              </a:prstGeom>
                              <a:noFill/>
                              <a:ln>
                                <a:noFill/>
                              </a:ln>
                            </wps:spPr>
                            <wps:bodyPr rot="0" vert="horz" wrap="square" lIns="91440" tIns="45720" rIns="91440" bIns="45720" anchor="t" upright="1">
                              <a:noAutofit/>
                            </wps:bodyPr>
                          </wps:wsp>
                        </wpg:wgp>
                      </a:graphicData>
                    </a:graphic>
                  </wp:anchor>
                </w:drawing>
              </mc:Choice>
              <mc:Fallback>
                <w:pict>
                  <v:group w14:anchorId="7DF9D30E" id="shape1029" o:spid="_x0000_s1026" style="position:absolute;margin-left:0;margin-top:10in;width:43.2pt;height:43.2pt;z-index:251637760;mso-left-percent:770;mso-position-horizontal-relative:margin;mso-position-vertical-relative:bottom-margin-area;mso-left-percent:770"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BMElePigIAAO4GAAAOAAAAAAAAAAAAAAAAAC4CAABkcnMvZTJvRG9jLnhtbFBLAQItABQABgAI&#10;AAAAIQCQ/EnS3AAAAAkBAAAPAAAAAAAAAAAAAAAAAOQEAABkcnMvZG93bnJldi54bWxQSwUGAAAA&#10;AAQABADzAAAA7QUAAAAA&#10;">
                    <v:oval id="child 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" fillcolor="#fe8637" strokecolor="#fe8637" strokeweight="3pt">
                      <v:stroke linestyle="thinThin"/>
                      <v:path arrowok="t"/>
                    </v:oval>
                    <v:rect id="child 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" filled="f" stroked="f"/>
                    <w10:wrap anchorx="margin" anchory="margin"/>
                  </v:group>
                </w:pict>
              </mc:Fallback>
            </mc:AlternateContent>
          </w:r>
          <w:r w:rsidRPr="00624126">
            <w:rPr>
              <w:rFonts w:ascii="Calibri" w:eastAsia="Calibri" w:hAnsi="Calibri" w:cs="Calibri"/>
              <w:smallCaps/>
              <w:noProof/>
              <w:color w:val="5B9BD5"/>
              <w:spacing w:val="10"/>
              <w:sz w:val="44"/>
              <w:szCs w:val="44"/>
              <w:lang w:eastAsia="en-US"/>
            </w:rPr>
            <mc:AlternateContent>
              <mc:Choice Requires="wpg">
                <w:drawing>
                  <wp:anchor distT="0" distB="0" distL="114300" distR="114300" simplePos="0" relativeHeight="251639808" behindDoc="0" locked="0" layoutInCell="1" hidden="0" allowOverlap="1" wp14:anchorId="422DB12F" wp14:editId="6DF34312">
                    <wp:simplePos x="0" y="0"/>
                    <mc:AlternateContent>
                      <mc:Choice Requires="wp14">
                        <wp:positionH relativeFrom="margin">
                          <wp14:pctPosHOffset>77000</wp14:pctPosHOffset>
                        </wp:positionH>
                      </mc:Choice>
                      <mc:Fallback>
                        <wp:positionH relativeFrom="page">
                          <wp:posOffset>5758180</wp:posOffset>
                        </wp:positionH>
                      </mc:Fallback>
                    </mc:AlternateContent>
                    <wp:positionV relativeFrom="bottomMargin">
                      <wp:posOffset>9144000</wp:posOffset>
                    </wp:positionV>
                    <wp:extent cx="548640" cy="548640"/>
                    <wp:effectExtent l="6764655" t="9332595" r="6764655" b="9332595"/>
                    <wp:wrapNone/>
                    <wp:docPr id="1032" name="shape1032"/>
                    <wp:cNvGraphicFramePr/>
                    <a:graphic xmlns:a="http://schemas.openxmlformats.org/drawingml/2006/main">
                      <a:graphicData uri="http://schemas.microsoft.com/office/word/2010/wordprocessingGroup">
                        <wpg:wgp>
                          <wpg:cNvGrpSpPr/>
                          <wpg:grpSpPr>
                            <a:xfrm>
                              <a:off x="0" y="0"/>
                              <a:ext cx="548640" cy="548640"/>
                              <a:chOff x="10653" y="14697"/>
                              <a:chExt cx="864" cy="864"/>
                            </a:xfrm>
                          </wpg:grpSpPr>
                          <wps:wsp>
                            <wps:cNvPr id="5" name="child 1"/>
                            <wps:cNvSpPr>
                              <a:spLocks/>
                            </wps:cNvSpPr>
                            <wps:spPr>
                              <a:xfrm flipH="1">
                                <a:off x="10860" y="14898"/>
                                <a:ext cx="297" cy="303"/>
                              </a:xfrm>
                              <a:prstGeom prst="ellipse">
                                <a:avLst/>
                              </a:prstGeom>
                              <a:solidFill>
                                <a:srgbClr val="FE8637"/>
                              </a:solidFill>
                              <a:ln w="38100" cmpd="dbl">
                                <a:solidFill>
                                  <a:srgbClr val="FE8637"/>
                                </a:solidFill>
                              </a:ln>
                            </wps:spPr>
                            <wps:bodyPr rot="0" vert="horz" wrap="square" lIns="91440" tIns="45720" rIns="91440" bIns="45720" anchor="t" upright="1">
                              <a:noAutofit/>
                            </wps:bodyPr>
                          </wps:wsp>
                          <wps:wsp>
                            <wps:cNvPr id="6" name="child 2"/>
                            <wps:cNvSpPr>
                              <a:spLocks/>
                            </wps:cNvSpPr>
                            <wps:spPr>
                              <a:xfrm>
                                <a:off x="10653" y="14697"/>
                                <a:ext cx="864" cy="864"/>
                              </a:xfrm>
                              <a:prstGeom prst="rect">
                                <a:avLst/>
                              </a:prstGeom>
                              <a:noFill/>
                              <a:ln>
                                <a:noFill/>
                              </a:ln>
                            </wps:spPr>
                            <wps:bodyPr rot="0" vert="horz" wrap="square" lIns="91440" tIns="45720" rIns="91440" bIns="45720" anchor="t" upright="1">
                              <a:noAutofit/>
                            </wps:bodyPr>
                          </wps:wsp>
                        </wpg:wgp>
                      </a:graphicData>
                    </a:graphic>
                  </wp:anchor>
                </w:drawing>
              </mc:Choice>
              <mc:Fallback>
                <w:pict>
                  <v:group w14:anchorId="7AEBD565" id="shape1032" o:spid="_x0000_s1026" style="position:absolute;margin-left:0;margin-top:10in;width:43.2pt;height:43.2pt;z-index:251639808;mso-left-percent:770;mso-position-horizontal-relative:margin;mso-position-vertical-relative:bottom-margin-area;mso-left-percent:770"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SrPUxogCAADoBgAADgAAAAAAAAAAAAAAAAAuAgAAZHJzL2Uyb0RvYy54bWxQSwECLQAUAAYACAAA&#10;ACEAkPxJ0twAAAAJAQAADwAAAAAAAAAAAAAAAADiBAAAZHJzL2Rvd25yZXYueG1sUEsFBgAAAAAE&#10;AAQA8wAAAOsFAAAAAA==&#10;">
                    <v:oval id="child 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" fillcolor="#fe8637" strokecolor="#fe8637" strokeweight="3pt">
                      <v:stroke linestyle="thinThin"/>
                      <v:path arrowok="t"/>
                    </v:oval>
                    <v:rect id="child 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w10:wrap anchorx="margin" anchory="margin"/>
                  </v:group>
                </w:pict>
              </mc:Fallback>
            </mc:AlternateContent>
          </w:r>
          <w:r w:rsidRPr="00624126">
            <w:rPr>
              <w:rFonts w:ascii="Calibri" w:eastAsia="Calibri" w:hAnsi="Calibri" w:cs="Calibri"/>
              <w:smallCaps/>
              <w:noProof/>
              <w:color w:val="5B9BD5"/>
              <w:spacing w:val="10"/>
              <w:sz w:val="44"/>
              <w:szCs w:val="44"/>
              <w:lang w:eastAsia="en-US"/>
            </w:rPr>
            <mc:AlternateContent>
              <mc:Choice Requires="wpg">
                <w:drawing>
                  <wp:anchor distT="0" distB="0" distL="114300" distR="114300" simplePos="0" relativeHeight="251641856" behindDoc="0" locked="0" layoutInCell="1" hidden="0" allowOverlap="1" wp14:anchorId="2860F211" wp14:editId="2A3338A4">
                    <wp:simplePos x="0" y="0"/>
                    <mc:AlternateContent>
                      <mc:Choice Requires="wp14">
                        <wp:positionH relativeFrom="margin">
                          <wp14:pctPosHOffset>77000</wp14:pctPosHOffset>
                        </wp:positionH>
                      </mc:Choice>
                      <mc:Fallback>
                        <wp:positionH relativeFrom="page">
                          <wp:posOffset>5758180</wp:posOffset>
                        </wp:positionH>
                      </mc:Fallback>
                    </mc:AlternateContent>
                    <wp:positionV relativeFrom="bottomMargin">
                      <wp:posOffset>9144000</wp:posOffset>
                    </wp:positionV>
                    <wp:extent cx="548640" cy="548640"/>
                    <wp:effectExtent l="6764655" t="9332595" r="6764655" b="9332595"/>
                    <wp:wrapNone/>
                    <wp:docPr id="1063" name="shape1035"/>
                    <wp:cNvGraphicFramePr/>
                    <a:graphic xmlns:a="http://schemas.openxmlformats.org/drawingml/2006/main">
                      <a:graphicData uri="http://schemas.microsoft.com/office/word/2010/wordprocessingGroup">
                        <wpg:wgp>
                          <wpg:cNvGrpSpPr/>
                          <wpg:grpSpPr>
                            <a:xfrm>
                              <a:off x="0" y="0"/>
                              <a:ext cx="548640" cy="548640"/>
                              <a:chOff x="10653" y="14697"/>
                              <a:chExt cx="864" cy="864"/>
                            </a:xfrm>
                          </wpg:grpSpPr>
                          <wps:wsp>
                            <wps:cNvPr id="1064" name="child 1"/>
                            <wps:cNvSpPr>
                              <a:spLocks/>
                            </wps:cNvSpPr>
                            <wps:spPr>
                              <a:xfrm flipH="1">
                                <a:off x="10860" y="14898"/>
                                <a:ext cx="297" cy="303"/>
                              </a:xfrm>
                              <a:prstGeom prst="ellipse">
                                <a:avLst/>
                              </a:prstGeom>
                              <a:solidFill>
                                <a:srgbClr val="FE8637"/>
                              </a:solidFill>
                              <a:ln w="38100" cmpd="dbl">
                                <a:solidFill>
                                  <a:srgbClr val="FE8637"/>
                                </a:solidFill>
                              </a:ln>
                            </wps:spPr>
                            <wps:bodyPr rot="0" vert="horz" wrap="square" lIns="91440" tIns="45720" rIns="91440" bIns="45720" anchor="t" upright="1">
                              <a:noAutofit/>
                            </wps:bodyPr>
                          </wps:wsp>
                          <wps:wsp>
                            <wps:cNvPr id="1065" name="child 2"/>
                            <wps:cNvSpPr>
                              <a:spLocks/>
                            </wps:cNvSpPr>
                            <wps:spPr>
                              <a:xfrm>
                                <a:off x="10653" y="14697"/>
                                <a:ext cx="864" cy="864"/>
                              </a:xfrm>
                              <a:prstGeom prst="rect">
                                <a:avLst/>
                              </a:prstGeom>
                              <a:noFill/>
                              <a:ln>
                                <a:noFill/>
                              </a:ln>
                            </wps:spPr>
                            <wps:bodyPr rot="0" vert="horz" wrap="square" lIns="91440" tIns="45720" rIns="91440" bIns="45720" anchor="t" upright="1">
                              <a:noAutofit/>
                            </wps:bodyPr>
                          </wps:wsp>
                        </wpg:wgp>
                      </a:graphicData>
                    </a:graphic>
                  </wp:anchor>
                </w:drawing>
              </mc:Choice>
              <mc:Fallback>
                <w:pict>
                  <v:group w14:anchorId="73950C26" id="shape1035" o:spid="_x0000_s1026" style="position:absolute;margin-left:0;margin-top:10in;width:43.2pt;height:43.2pt;z-index:251641856;mso-left-percent:770;mso-position-horizontal-relative:margin;mso-position-vertical-relative:bottom-margin-area;mso-left-percent:770"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Em7DyuJAgAA7gYAAA4AAAAAAAAAAAAAAAAALgIAAGRycy9lMm9Eb2MueG1sUEsBAi0AFAAGAAgA&#10;AAAhAJD8SdLcAAAACQEAAA8AAAAAAAAAAAAAAAAA4wQAAGRycy9kb3ducmV2LnhtbFBLBQYAAAAA&#10;BAAEAPMAAADsBQAAAAA=&#10;">
                    <v:oval id="child 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" fillcolor="#fe8637" strokecolor="#fe8637" strokeweight="3pt">
                      <v:stroke linestyle="thinThin"/>
                      <v:path arrowok="t"/>
                    </v:oval>
                    <v:rect id="child 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" filled="f" stroked="f"/>
                    <w10:wrap anchorx="margin" anchory="margin"/>
                  </v:group>
                </w:pict>
              </mc:Fallback>
            </mc:AlternateContent>
          </w:r>
          <w:r w:rsidRPr="00624126">
            <w:rPr>
              <w:rFonts w:ascii="Calibri" w:eastAsia="Calibri" w:hAnsi="Calibri" w:cs="Calibri"/>
              <w:smallCaps/>
              <w:noProof/>
              <w:color w:val="5B9BD5"/>
              <w:spacing w:val="10"/>
              <w:sz w:val="44"/>
              <w:szCs w:val="44"/>
              <w:lang w:eastAsia="en-US"/>
            </w:rPr>
            <mc:AlternateContent>
              <mc:Choice Requires="wpg">
                <w:drawing>
                  <wp:anchor distT="0" distB="0" distL="114300" distR="114300" simplePos="0" relativeHeight="251643904" behindDoc="0" locked="0" layoutInCell="1" hidden="0" allowOverlap="1" wp14:anchorId="0A10A37A" wp14:editId="3B5C4621">
                    <wp:simplePos x="0" y="0"/>
                    <mc:AlternateContent>
                      <mc:Choice Requires="wp14">
                        <wp:positionH relativeFrom="margin">
                          <wp14:pctPosHOffset>77000</wp14:pctPosHOffset>
                        </wp:positionH>
                      </mc:Choice>
                      <mc:Fallback>
                        <wp:positionH relativeFrom="page">
                          <wp:posOffset>5758180</wp:posOffset>
                        </wp:positionH>
                      </mc:Fallback>
                    </mc:AlternateContent>
                    <wp:positionV relativeFrom="bottomMargin">
                      <wp:posOffset>9144000</wp:posOffset>
                    </wp:positionV>
                    <wp:extent cx="548640" cy="548640"/>
                    <wp:effectExtent l="6764655" t="9332595" r="6764655" b="9332595"/>
                    <wp:wrapNone/>
                    <wp:docPr id="1038" name="shape1038"/>
                    <wp:cNvGraphicFramePr/>
                    <a:graphic xmlns:a="http://schemas.openxmlformats.org/drawingml/2006/main">
                      <a:graphicData uri="http://schemas.microsoft.com/office/word/2010/wordprocessingGroup">
                        <wpg:wgp>
                          <wpg:cNvGrpSpPr/>
                          <wpg:grpSpPr>
                            <a:xfrm>
                              <a:off x="0" y="0"/>
                              <a:ext cx="548640" cy="548640"/>
                              <a:chOff x="10653" y="14697"/>
                              <a:chExt cx="864" cy="864"/>
                            </a:xfrm>
                          </wpg:grpSpPr>
                          <wps:wsp>
                            <wps:cNvPr id="9" name="child 1"/>
                            <wps:cNvSpPr>
                              <a:spLocks/>
                            </wps:cNvSpPr>
                            <wps:spPr>
                              <a:xfrm flipH="1">
                                <a:off x="10860" y="14898"/>
                                <a:ext cx="297" cy="303"/>
                              </a:xfrm>
                              <a:prstGeom prst="ellipse">
                                <a:avLst/>
                              </a:prstGeom>
                              <a:solidFill>
                                <a:srgbClr val="FE8637"/>
                              </a:solidFill>
                              <a:ln w="38100" cmpd="dbl">
                                <a:solidFill>
                                  <a:srgbClr val="FE8637"/>
                                </a:solidFill>
                              </a:ln>
                            </wps:spPr>
                            <wps:bodyPr rot="0" vert="horz" wrap="square" lIns="91440" tIns="45720" rIns="91440" bIns="45720" anchor="t" upright="1">
                              <a:noAutofit/>
                            </wps:bodyPr>
                          </wps:wsp>
                          <wps:wsp>
                            <wps:cNvPr id="10" name="child 2"/>
                            <wps:cNvSpPr>
                              <a:spLocks/>
                            </wps:cNvSpPr>
                            <wps:spPr>
                              <a:xfrm>
                                <a:off x="10653" y="14697"/>
                                <a:ext cx="864" cy="864"/>
                              </a:xfrm>
                              <a:prstGeom prst="rect">
                                <a:avLst/>
                              </a:prstGeom>
                              <a:noFill/>
                              <a:ln>
                                <a:noFill/>
                              </a:ln>
                            </wps:spPr>
                            <wps:bodyPr rot="0" vert="horz" wrap="square" lIns="91440" tIns="45720" rIns="91440" bIns="45720" anchor="t" upright="1">
                              <a:noAutofit/>
                            </wps:bodyPr>
                          </wps:wsp>
                        </wpg:wgp>
                      </a:graphicData>
                    </a:graphic>
                  </wp:anchor>
                </w:drawing>
              </mc:Choice>
              <mc:Fallback>
                <w:pict>
                  <v:group w14:anchorId="45273999" id="shape1038" o:spid="_x0000_s1026" style="position:absolute;margin-left:0;margin-top:10in;width:43.2pt;height:43.2pt;z-index:251643904;mso-left-percent:770;mso-position-horizontal-relative:margin;mso-position-vertical-relative:bottom-margin-area;mso-left-percent:770"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pQ4sM4sCAADpBgAADgAAAAAAAAAAAAAAAAAuAgAAZHJzL2Uyb0RvYy54bWxQSwECLQAUAAYA&#10;CAAAACEAkPxJ0twAAAAJAQAADwAAAAAAAAAAAAAAAADlBAAAZHJzL2Rvd25yZXYueG1sUEsFBgAA&#10;AAAEAAQA8wAAAO4FAAAAAA==&#10;">
                    <v:oval id="child 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" fillcolor="#fe8637" strokecolor="#fe8637" strokeweight="3pt">
                      <v:stroke linestyle="thinThin"/>
                      <v:path arrowok="t"/>
                    </v:oval>
                    <v:rect id="child 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w10:wrap anchorx="margin" anchory="margin"/>
                  </v:group>
                </w:pict>
              </mc:Fallback>
            </mc:AlternateContent>
          </w:r>
          <w:r w:rsidRPr="00624126">
            <w:rPr>
              <w:rFonts w:ascii="Calibri" w:eastAsia="Calibri" w:hAnsi="Calibri" w:cs="Calibri"/>
              <w:smallCaps/>
              <w:noProof/>
              <w:color w:val="5B9BD5"/>
              <w:spacing w:val="10"/>
              <w:sz w:val="44"/>
              <w:szCs w:val="44"/>
              <w:lang w:eastAsia="en-US"/>
            </w:rPr>
            <mc:AlternateContent>
              <mc:Choice Requires="wpg">
                <w:drawing>
                  <wp:anchor distT="0" distB="0" distL="114300" distR="114300" simplePos="0" relativeHeight="251645952" behindDoc="0" locked="0" layoutInCell="1" hidden="0" allowOverlap="1" wp14:anchorId="5DFB2C6A" wp14:editId="07E3C2D7">
                    <wp:simplePos x="0" y="0"/>
                    <mc:AlternateContent>
                      <mc:Choice Requires="wp14">
                        <wp:positionH relativeFrom="margin">
                          <wp14:pctPosHOffset>77000</wp14:pctPosHOffset>
                        </wp:positionH>
                      </mc:Choice>
                      <mc:Fallback>
                        <wp:positionH relativeFrom="page">
                          <wp:posOffset>5758180</wp:posOffset>
                        </wp:positionH>
                      </mc:Fallback>
                    </mc:AlternateContent>
                    <wp:positionV relativeFrom="bottomMargin">
                      <wp:posOffset>9144000</wp:posOffset>
                    </wp:positionV>
                    <wp:extent cx="548640" cy="548640"/>
                    <wp:effectExtent l="6764655" t="9332595" r="6764655" b="9332595"/>
                    <wp:wrapNone/>
                    <wp:docPr id="1066" name="shape1041"/>
                    <wp:cNvGraphicFramePr/>
                    <a:graphic xmlns:a="http://schemas.openxmlformats.org/drawingml/2006/main">
                      <a:graphicData uri="http://schemas.microsoft.com/office/word/2010/wordprocessingGroup">
                        <wpg:wgp>
                          <wpg:cNvGrpSpPr/>
                          <wpg:grpSpPr>
                            <a:xfrm>
                              <a:off x="0" y="0"/>
                              <a:ext cx="548640" cy="548640"/>
                              <a:chOff x="10653" y="14697"/>
                              <a:chExt cx="864" cy="864"/>
                            </a:xfrm>
                          </wpg:grpSpPr>
                          <wps:wsp>
                            <wps:cNvPr id="1067" name="child 1"/>
                            <wps:cNvSpPr>
                              <a:spLocks/>
                            </wps:cNvSpPr>
                            <wps:spPr>
                              <a:xfrm flipH="1">
                                <a:off x="10860" y="14898"/>
                                <a:ext cx="297" cy="303"/>
                              </a:xfrm>
                              <a:prstGeom prst="ellipse">
                                <a:avLst/>
                              </a:prstGeom>
                              <a:solidFill>
                                <a:srgbClr val="FE8637"/>
                              </a:solidFill>
                              <a:ln w="38100" cmpd="dbl">
                                <a:solidFill>
                                  <a:srgbClr val="FE8637"/>
                                </a:solidFill>
                              </a:ln>
                            </wps:spPr>
                            <wps:bodyPr rot="0" vert="horz" wrap="square" lIns="91440" tIns="45720" rIns="91440" bIns="45720" anchor="t" upright="1">
                              <a:noAutofit/>
                            </wps:bodyPr>
                          </wps:wsp>
                          <wps:wsp>
                            <wps:cNvPr id="1068" name="child 2"/>
                            <wps:cNvSpPr>
                              <a:spLocks/>
                            </wps:cNvSpPr>
                            <wps:spPr>
                              <a:xfrm>
                                <a:off x="10653" y="14697"/>
                                <a:ext cx="864" cy="864"/>
                              </a:xfrm>
                              <a:prstGeom prst="rect">
                                <a:avLst/>
                              </a:prstGeom>
                              <a:noFill/>
                              <a:ln>
                                <a:noFill/>
                              </a:ln>
                            </wps:spPr>
                            <wps:bodyPr rot="0" vert="horz" wrap="square" lIns="91440" tIns="45720" rIns="91440" bIns="45720" anchor="t" upright="1">
                              <a:noAutofit/>
                            </wps:bodyPr>
                          </wps:wsp>
                        </wpg:wgp>
                      </a:graphicData>
                    </a:graphic>
                  </wp:anchor>
                </w:drawing>
              </mc:Choice>
              <mc:Fallback>
                <w:pict>
                  <v:group w14:anchorId="042B94C5" id="shape1041" o:spid="_x0000_s1026" style="position:absolute;margin-left:0;margin-top:10in;width:43.2pt;height:43.2pt;z-index:251645952;mso-left-percent:770;mso-position-horizontal-relative:margin;mso-position-vertical-relative:bottom-margin-area;mso-left-percent:770"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BisxEKMAgAA7gYAAA4AAAAAAAAAAAAAAAAALgIAAGRycy9lMm9Eb2MueG1sUEsBAi0AFAAG&#10;AAgAAAAhAJD8SdLcAAAACQEAAA8AAAAAAAAAAAAAAAAA5gQAAGRycy9kb3ducmV2LnhtbFBLBQYA&#10;AAAABAAEAPMAAADvBQAAAAA=&#10;">
                    <v:oval id="child 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" fillcolor="#fe8637" strokecolor="#fe8637" strokeweight="3pt">
                      <v:stroke linestyle="thinThin"/>
                      <v:path arrowok="t"/>
                    </v:oval>
                    <v:rect id="child 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" filled="f" stroked="f"/>
                    <w10:wrap anchorx="margin" anchory="margin"/>
                  </v:group>
                </w:pict>
              </mc:Fallback>
            </mc:AlternateContent>
          </w:r>
          <w:r w:rsidRPr="00624126">
            <w:rPr>
              <w:rFonts w:ascii="Calibri" w:eastAsia="Calibri" w:hAnsi="Calibri" w:cs="Calibri"/>
              <w:smallCaps/>
              <w:noProof/>
              <w:color w:val="5B9BD5"/>
              <w:spacing w:val="10"/>
              <w:sz w:val="44"/>
              <w:szCs w:val="44"/>
              <w:lang w:eastAsia="en-US"/>
            </w:rPr>
            <mc:AlternateContent>
              <mc:Choice Requires="wpg">
                <w:drawing>
                  <wp:anchor distT="0" distB="0" distL="114300" distR="114300" simplePos="0" relativeHeight="251648000" behindDoc="0" locked="0" layoutInCell="1" hidden="0" allowOverlap="1" wp14:anchorId="47B66DE6" wp14:editId="3CA2E872">
                    <wp:simplePos x="0" y="0"/>
                    <mc:AlternateContent>
                      <mc:Choice Requires="wp14">
                        <wp:positionH relativeFrom="margin">
                          <wp14:pctPosHOffset>77000</wp14:pctPosHOffset>
                        </wp:positionH>
                      </mc:Choice>
                      <mc:Fallback>
                        <wp:positionH relativeFrom="page">
                          <wp:posOffset>5758180</wp:posOffset>
                        </wp:positionH>
                      </mc:Fallback>
                    </mc:AlternateContent>
                    <wp:positionV relativeFrom="bottomMargin">
                      <wp:posOffset>9144000</wp:posOffset>
                    </wp:positionV>
                    <wp:extent cx="548640" cy="548640"/>
                    <wp:effectExtent l="6764655" t="9332595" r="6764655" b="9332595"/>
                    <wp:wrapNone/>
                    <wp:docPr id="1069" name="shape1044"/>
                    <wp:cNvGraphicFramePr/>
                    <a:graphic xmlns:a="http://schemas.openxmlformats.org/drawingml/2006/main">
                      <a:graphicData uri="http://schemas.microsoft.com/office/word/2010/wordprocessingGroup">
                        <wpg:wgp>
                          <wpg:cNvGrpSpPr/>
                          <wpg:grpSpPr>
                            <a:xfrm>
                              <a:off x="0" y="0"/>
                              <a:ext cx="548640" cy="548640"/>
                              <a:chOff x="10653" y="14697"/>
                              <a:chExt cx="864" cy="864"/>
                            </a:xfrm>
                          </wpg:grpSpPr>
                          <wps:wsp>
                            <wps:cNvPr id="1070" name="child 1"/>
                            <wps:cNvSpPr>
                              <a:spLocks/>
                            </wps:cNvSpPr>
                            <wps:spPr>
                              <a:xfrm flipH="1">
                                <a:off x="10860" y="14898"/>
                                <a:ext cx="297" cy="303"/>
                              </a:xfrm>
                              <a:prstGeom prst="ellipse">
                                <a:avLst/>
                              </a:prstGeom>
                              <a:solidFill>
                                <a:srgbClr val="FE8637"/>
                              </a:solidFill>
                              <a:ln w="38100" cmpd="dbl">
                                <a:solidFill>
                                  <a:srgbClr val="FE8637"/>
                                </a:solidFill>
                              </a:ln>
                            </wps:spPr>
                            <wps:bodyPr rot="0" vert="horz" wrap="square" lIns="91440" tIns="45720" rIns="91440" bIns="45720" anchor="t" upright="1">
                              <a:noAutofit/>
                            </wps:bodyPr>
                          </wps:wsp>
                          <wps:wsp>
                            <wps:cNvPr id="1072" name="child 2"/>
                            <wps:cNvSpPr>
                              <a:spLocks/>
                            </wps:cNvSpPr>
                            <wps:spPr>
                              <a:xfrm>
                                <a:off x="10653" y="14697"/>
                                <a:ext cx="864" cy="864"/>
                              </a:xfrm>
                              <a:prstGeom prst="rect">
                                <a:avLst/>
                              </a:prstGeom>
                              <a:noFill/>
                              <a:ln>
                                <a:noFill/>
                              </a:ln>
                            </wps:spPr>
                            <wps:bodyPr rot="0" vert="horz" wrap="square" lIns="91440" tIns="45720" rIns="91440" bIns="45720" anchor="t" upright="1">
                              <a:noAutofit/>
                            </wps:bodyPr>
                          </wps:wsp>
                        </wpg:wgp>
                      </a:graphicData>
                    </a:graphic>
                  </wp:anchor>
                </w:drawing>
              </mc:Choice>
              <mc:Fallback>
                <w:pict>
                  <v:group w14:anchorId="7DE4A01B" id="shape1044" o:spid="_x0000_s1026" style="position:absolute;margin-left:0;margin-top:10in;width:43.2pt;height:43.2pt;z-index:251648000;mso-left-percent:770;mso-position-horizontal-relative:margin;mso-position-vertical-relative:bottom-margin-area;mso-left-percent:770"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dUbznosCAADuBgAADgAAAAAAAAAAAAAAAAAuAgAAZHJzL2Uyb0RvYy54bWxQSwECLQAUAAYA&#10;CAAAACEAkPxJ0twAAAAJAQAADwAAAAAAAAAAAAAAAADlBAAAZHJzL2Rvd25yZXYueG1sUEsFBgAA&#10;AAAEAAQA8wAAAO4FAAAAAA==&#10;">
                    <v:oval id="child 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" fillcolor="#fe8637" strokecolor="#fe8637" strokeweight="3pt">
                      <v:stroke linestyle="thinThin"/>
                      <v:path arrowok="t"/>
                    </v:oval>
                    <v:rect id="child 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" filled="f" stroked="f"/>
                    <w10:wrap anchorx="margin" anchory="margin"/>
                  </v:group>
                </w:pict>
              </mc:Fallback>
            </mc:AlternateContent>
          </w:r>
          <w:r w:rsidRPr="00624126">
            <w:rPr>
              <w:rFonts w:ascii="Calibri" w:eastAsia="Calibri" w:hAnsi="Calibri" w:cs="Calibri"/>
              <w:smallCaps/>
              <w:noProof/>
              <w:color w:val="5B9BD5"/>
              <w:spacing w:val="10"/>
              <w:sz w:val="44"/>
              <w:szCs w:val="44"/>
              <w:lang w:eastAsia="en-US"/>
            </w:rPr>
            <mc:AlternateContent>
              <mc:Choice Requires="wpg">
                <w:drawing>
                  <wp:anchor distT="0" distB="0" distL="114300" distR="114300" simplePos="0" relativeHeight="251650048" behindDoc="0" locked="0" layoutInCell="1" hidden="0" allowOverlap="1" wp14:anchorId="50BC39BA" wp14:editId="5FFF6604">
                    <wp:simplePos x="0" y="0"/>
                    <mc:AlternateContent>
                      <mc:Choice Requires="wp14">
                        <wp:positionH relativeFrom="margin">
                          <wp14:pctPosHOffset>77000</wp14:pctPosHOffset>
                        </wp:positionH>
                      </mc:Choice>
                      <mc:Fallback>
                        <wp:positionH relativeFrom="page">
                          <wp:posOffset>5758180</wp:posOffset>
                        </wp:positionH>
                      </mc:Fallback>
                    </mc:AlternateContent>
                    <wp:positionV relativeFrom="bottomMargin">
                      <wp:posOffset>9144000</wp:posOffset>
                    </wp:positionV>
                    <wp:extent cx="548640" cy="548640"/>
                    <wp:effectExtent l="6764655" t="9332595" r="6764655" b="9332595"/>
                    <wp:wrapNone/>
                    <wp:docPr id="1047" name="shape1047"/>
                    <wp:cNvGraphicFramePr/>
                    <a:graphic xmlns:a="http://schemas.openxmlformats.org/drawingml/2006/main">
                      <a:graphicData uri="http://schemas.microsoft.com/office/word/2010/wordprocessingGroup">
                        <wpg:wgp>
                          <wpg:cNvGrpSpPr/>
                          <wpg:grpSpPr>
                            <a:xfrm>
                              <a:off x="0" y="0"/>
                              <a:ext cx="548640" cy="548640"/>
                              <a:chOff x="10653" y="14697"/>
                              <a:chExt cx="864" cy="864"/>
                            </a:xfrm>
                          </wpg:grpSpPr>
                          <wps:wsp>
                            <wps:cNvPr id="15" name="child 1"/>
                            <wps:cNvSpPr>
                              <a:spLocks/>
                            </wps:cNvSpPr>
                            <wps:spPr>
                              <a:xfrm flipH="1">
                                <a:off x="10860" y="14898"/>
                                <a:ext cx="297" cy="303"/>
                              </a:xfrm>
                              <a:prstGeom prst="ellipse">
                                <a:avLst/>
                              </a:prstGeom>
                              <a:solidFill>
                                <a:srgbClr val="FE8637"/>
                              </a:solidFill>
                              <a:ln w="38100" cmpd="dbl">
                                <a:solidFill>
                                  <a:srgbClr val="FE8637"/>
                                </a:solidFill>
                              </a:ln>
                            </wps:spPr>
                            <wps:bodyPr rot="0" vert="horz" wrap="square" lIns="91440" tIns="45720" rIns="91440" bIns="45720" anchor="t" upright="1">
                              <a:noAutofit/>
                            </wps:bodyPr>
                          </wps:wsp>
                          <wps:wsp>
                            <wps:cNvPr id="16" name="child 2"/>
                            <wps:cNvSpPr>
                              <a:spLocks/>
                            </wps:cNvSpPr>
                            <wps:spPr>
                              <a:xfrm>
                                <a:off x="10653" y="14697"/>
                                <a:ext cx="864" cy="864"/>
                              </a:xfrm>
                              <a:prstGeom prst="rect">
                                <a:avLst/>
                              </a:prstGeom>
                              <a:noFill/>
                              <a:ln>
                                <a:noFill/>
                              </a:ln>
                            </wps:spPr>
                            <wps:bodyPr rot="0" vert="horz" wrap="square" lIns="91440" tIns="45720" rIns="91440" bIns="45720" anchor="t" upright="1">
                              <a:noAutofit/>
                            </wps:bodyPr>
                          </wps:wsp>
                        </wpg:wgp>
                      </a:graphicData>
                    </a:graphic>
                  </wp:anchor>
                </w:drawing>
              </mc:Choice>
              <mc:Fallback>
                <w:pict>
                  <v:group w14:anchorId="453FE174" id="shape1047" o:spid="_x0000_s1026" style="position:absolute;margin-left:0;margin-top:10in;width:43.2pt;height:43.2pt;z-index:251650048;mso-left-percent:770;mso-position-horizontal-relative:margin;mso-position-vertical-relative:bottom-margin-area;mso-left-percent:770"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PaN1lWJAgAA6gYAAA4AAAAAAAAAAAAAAAAALgIAAGRycy9lMm9Eb2MueG1sUEsBAi0AFAAGAAgA&#10;AAAhAJD8SdLcAAAACQEAAA8AAAAAAAAAAAAAAAAA4wQAAGRycy9kb3ducmV2LnhtbFBLBQYAAAAA&#10;BAAEAPMAAADsBQAAAAA=&#10;">
                    <v:oval id="child 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" fillcolor="#fe8637" strokecolor="#fe8637" strokeweight="3pt">
                      <v:stroke linestyle="thinThin"/>
                      <v:path arrowok="t"/>
                    </v:oval>
                    <v:rect id="child 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w10:wrap anchorx="margin" anchory="margin"/>
                  </v:group>
                </w:pict>
              </mc:Fallback>
            </mc:AlternateContent>
          </w:r>
          <w:r w:rsidRPr="00624126">
            <w:rPr>
              <w:rFonts w:ascii="Calibri" w:eastAsia="Calibri" w:hAnsi="Calibri" w:cs="Calibri"/>
              <w:smallCaps/>
              <w:noProof/>
              <w:color w:val="5B9BD5"/>
              <w:spacing w:val="10"/>
              <w:sz w:val="44"/>
              <w:szCs w:val="44"/>
              <w:lang w:eastAsia="en-US"/>
            </w:rPr>
            <mc:AlternateContent>
              <mc:Choice Requires="wpg">
                <w:drawing>
                  <wp:anchor distT="0" distB="0" distL="114300" distR="114300" simplePos="0" relativeHeight="251652096" behindDoc="0" locked="0" layoutInCell="1" hidden="0" allowOverlap="1" wp14:anchorId="63F9924D" wp14:editId="786E6E8F">
                    <wp:simplePos x="0" y="0"/>
                    <mc:AlternateContent>
                      <mc:Choice Requires="wp14">
                        <wp:positionH relativeFrom="margin">
                          <wp14:pctPosHOffset>77000</wp14:pctPosHOffset>
                        </wp:positionH>
                      </mc:Choice>
                      <mc:Fallback>
                        <wp:positionH relativeFrom="page">
                          <wp:posOffset>5758180</wp:posOffset>
                        </wp:positionH>
                      </mc:Fallback>
                    </mc:AlternateContent>
                    <wp:positionV relativeFrom="bottomMargin">
                      <wp:posOffset>9144000</wp:posOffset>
                    </wp:positionV>
                    <wp:extent cx="548640" cy="548640"/>
                    <wp:effectExtent l="6764655" t="9332595" r="6764655" b="9332595"/>
                    <wp:wrapNone/>
                    <wp:docPr id="1073" name="shape1050"/>
                    <wp:cNvGraphicFramePr/>
                    <a:graphic xmlns:a="http://schemas.openxmlformats.org/drawingml/2006/main">
                      <a:graphicData uri="http://schemas.microsoft.com/office/word/2010/wordprocessingGroup">
                        <wpg:wgp>
                          <wpg:cNvGrpSpPr/>
                          <wpg:grpSpPr>
                            <a:xfrm>
                              <a:off x="0" y="0"/>
                              <a:ext cx="548640" cy="548640"/>
                              <a:chOff x="10653" y="14697"/>
                              <a:chExt cx="864" cy="864"/>
                            </a:xfrm>
                          </wpg:grpSpPr>
                          <wps:wsp>
                            <wps:cNvPr id="1074" name="child 1"/>
                            <wps:cNvSpPr>
                              <a:spLocks/>
                            </wps:cNvSpPr>
                            <wps:spPr>
                              <a:xfrm flipH="1">
                                <a:off x="10860" y="14898"/>
                                <a:ext cx="297" cy="303"/>
                              </a:xfrm>
                              <a:prstGeom prst="ellipse">
                                <a:avLst/>
                              </a:prstGeom>
                              <a:solidFill>
                                <a:srgbClr val="FE8637"/>
                              </a:solidFill>
                              <a:ln w="38100" cmpd="dbl">
                                <a:solidFill>
                                  <a:srgbClr val="FE8637"/>
                                </a:solidFill>
                              </a:ln>
                            </wps:spPr>
                            <wps:bodyPr rot="0" vert="horz" wrap="square" lIns="91440" tIns="45720" rIns="91440" bIns="45720" anchor="t" upright="1">
                              <a:noAutofit/>
                            </wps:bodyPr>
                          </wps:wsp>
                          <wps:wsp>
                            <wps:cNvPr id="1075" name="child 2"/>
                            <wps:cNvSpPr>
                              <a:spLocks/>
                            </wps:cNvSpPr>
                            <wps:spPr>
                              <a:xfrm>
                                <a:off x="10653" y="14697"/>
                                <a:ext cx="864" cy="864"/>
                              </a:xfrm>
                              <a:prstGeom prst="rect">
                                <a:avLst/>
                              </a:prstGeom>
                              <a:noFill/>
                              <a:ln>
                                <a:noFill/>
                              </a:ln>
                            </wps:spPr>
                            <wps:bodyPr rot="0" vert="horz" wrap="square" lIns="91440" tIns="45720" rIns="91440" bIns="45720" anchor="t" upright="1">
                              <a:noAutofit/>
                            </wps:bodyPr>
                          </wps:wsp>
                        </wpg:wgp>
                      </a:graphicData>
                    </a:graphic>
                  </wp:anchor>
                </w:drawing>
              </mc:Choice>
              <mc:Fallback>
                <w:pict>
                  <v:group w14:anchorId="5A0FC096" id="shape1050" o:spid="_x0000_s1026" style="position:absolute;margin-left:0;margin-top:10in;width:43.2pt;height:43.2pt;z-index:251652096;mso-left-percent:770;mso-position-horizontal-relative:margin;mso-position-vertical-relative:bottom-margin-area;mso-left-percent:770"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Bgk4TaigIAAO4GAAAOAAAAAAAAAAAAAAAAAC4CAABkcnMvZTJvRG9jLnhtbFBLAQItABQABgAI&#10;AAAAIQCQ/EnS3AAAAAkBAAAPAAAAAAAAAAAAAAAAAOQEAABkcnMvZG93bnJldi54bWxQSwUGAAAA&#10;AAQABADzAAAA7QUAAAAA&#10;">
                    <v:oval id="child 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" fillcolor="#fe8637" strokecolor="#fe8637" strokeweight="3pt">
                      <v:stroke linestyle="thinThin"/>
                      <v:path arrowok="t"/>
                    </v:oval>
                    <v:rect id="child 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" filled="f" stroked="f"/>
                    <w10:wrap anchorx="margin" anchory="margin"/>
                  </v:group>
                </w:pict>
              </mc:Fallback>
            </mc:AlternateContent>
          </w:r>
          <w:r w:rsidRPr="00624126">
            <w:rPr>
              <w:rFonts w:ascii="Calibri" w:eastAsia="Calibri" w:hAnsi="Calibri" w:cs="Calibri"/>
              <w:smallCaps/>
              <w:noProof/>
              <w:color w:val="5B9BD5"/>
              <w:spacing w:val="10"/>
              <w:sz w:val="44"/>
              <w:szCs w:val="44"/>
              <w:lang w:eastAsia="en-US"/>
            </w:rPr>
            <mc:AlternateContent>
              <mc:Choice Requires="wpg">
                <w:drawing>
                  <wp:anchor distT="0" distB="0" distL="114300" distR="114300" simplePos="0" relativeHeight="251654144" behindDoc="0" locked="0" layoutInCell="1" hidden="0" allowOverlap="1" wp14:anchorId="3F9454F1" wp14:editId="388B7818">
                    <wp:simplePos x="0" y="0"/>
                    <mc:AlternateContent>
                      <mc:Choice Requires="wp14">
                        <wp:positionH relativeFrom="margin">
                          <wp14:pctPosHOffset>77000</wp14:pctPosHOffset>
                        </wp:positionH>
                      </mc:Choice>
                      <mc:Fallback>
                        <wp:positionH relativeFrom="page">
                          <wp:posOffset>5758180</wp:posOffset>
                        </wp:positionH>
                      </mc:Fallback>
                    </mc:AlternateContent>
                    <wp:positionV relativeFrom="bottomMargin">
                      <wp:posOffset>9144000</wp:posOffset>
                    </wp:positionV>
                    <wp:extent cx="548640" cy="548640"/>
                    <wp:effectExtent l="6764655" t="9332595" r="6764655" b="9332595"/>
                    <wp:wrapNone/>
                    <wp:docPr id="1076" name="shape1053"/>
                    <wp:cNvGraphicFramePr/>
                    <a:graphic xmlns:a="http://schemas.openxmlformats.org/drawingml/2006/main">
                      <a:graphicData uri="http://schemas.microsoft.com/office/word/2010/wordprocessingGroup">
                        <wpg:wgp>
                          <wpg:cNvGrpSpPr/>
                          <wpg:grpSpPr>
                            <a:xfrm>
                              <a:off x="0" y="0"/>
                              <a:ext cx="548640" cy="548640"/>
                              <a:chOff x="10653" y="14697"/>
                              <a:chExt cx="864" cy="864"/>
                            </a:xfrm>
                          </wpg:grpSpPr>
                          <wps:wsp>
                            <wps:cNvPr id="1077" name="child 1"/>
                            <wps:cNvSpPr>
                              <a:spLocks/>
                            </wps:cNvSpPr>
                            <wps:spPr>
                              <a:xfrm flipH="1">
                                <a:off x="10860" y="14898"/>
                                <a:ext cx="297" cy="303"/>
                              </a:xfrm>
                              <a:prstGeom prst="ellipse">
                                <a:avLst/>
                              </a:prstGeom>
                              <a:solidFill>
                                <a:srgbClr val="FE8637"/>
                              </a:solidFill>
                              <a:ln w="38100" cmpd="dbl">
                                <a:solidFill>
                                  <a:srgbClr val="FE8637"/>
                                </a:solidFill>
                              </a:ln>
                            </wps:spPr>
                            <wps:bodyPr rot="0" vert="horz" wrap="square" lIns="91440" tIns="45720" rIns="91440" bIns="45720" anchor="t" upright="1">
                              <a:noAutofit/>
                            </wps:bodyPr>
                          </wps:wsp>
                          <wps:wsp>
                            <wps:cNvPr id="1078" name="child 2"/>
                            <wps:cNvSpPr>
                              <a:spLocks/>
                            </wps:cNvSpPr>
                            <wps:spPr>
                              <a:xfrm>
                                <a:off x="10653" y="14697"/>
                                <a:ext cx="864" cy="864"/>
                              </a:xfrm>
                              <a:prstGeom prst="rect">
                                <a:avLst/>
                              </a:prstGeom>
                              <a:noFill/>
                              <a:ln>
                                <a:noFill/>
                              </a:ln>
                            </wps:spPr>
                            <wps:bodyPr rot="0" vert="horz" wrap="square" lIns="91440" tIns="45720" rIns="91440" bIns="45720" anchor="t" upright="1">
                              <a:noAutofit/>
                            </wps:bodyPr>
                          </wps:wsp>
                        </wpg:wgp>
                      </a:graphicData>
                    </a:graphic>
                  </wp:anchor>
                </w:drawing>
              </mc:Choice>
              <mc:Fallback>
                <w:pict>
                  <v:group w14:anchorId="51C5ED6C" id="shape1053" o:spid="_x0000_s1026" style="position:absolute;margin-left:0;margin-top:10in;width:43.2pt;height:43.2pt;z-index:251654144;mso-left-percent:770;mso-position-horizontal-relative:margin;mso-position-vertical-relative:bottom-margin-area;mso-left-percent:770"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AxhE+zjQIAAO4GAAAOAAAAAAAAAAAAAAAAAC4CAABkcnMvZTJvRG9jLnhtbFBLAQItABQA&#10;BgAIAAAAIQCQ/EnS3AAAAAkBAAAPAAAAAAAAAAAAAAAAAOcEAABkcnMvZG93bnJldi54bWxQSwUG&#10;AAAAAAQABADzAAAA8AUAAAAA&#10;">
                    <v:oval id="child 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" fillcolor="#fe8637" strokecolor="#fe8637" strokeweight="3pt">
                      <v:stroke linestyle="thinThin"/>
                      <v:path arrowok="t"/>
                    </v:oval>
                    <v:rect id="child 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" filled="f" stroked="f"/>
                    <w10:wrap anchorx="margin" anchory="margin"/>
                  </v:group>
                </w:pict>
              </mc:Fallback>
            </mc:AlternateContent>
          </w:r>
          <w:r w:rsidRPr="00624126">
            <w:rPr>
              <w:rFonts w:ascii="Calibri" w:eastAsia="Calibri" w:hAnsi="Calibri" w:cs="Calibri"/>
              <w:smallCaps/>
              <w:noProof/>
              <w:color w:val="5B9BD5"/>
              <w:spacing w:val="10"/>
              <w:sz w:val="44"/>
              <w:szCs w:val="44"/>
              <w:lang w:eastAsia="en-US"/>
            </w:rPr>
            <mc:AlternateContent>
              <mc:Choice Requires="wpg">
                <w:drawing>
                  <wp:anchor distT="0" distB="0" distL="114300" distR="114300" simplePos="0" relativeHeight="251656192" behindDoc="0" locked="0" layoutInCell="1" hidden="0" allowOverlap="1" wp14:anchorId="598B02B0" wp14:editId="44F30F33">
                    <wp:simplePos x="0" y="0"/>
                    <mc:AlternateContent>
                      <mc:Choice Requires="wp14">
                        <wp:positionH relativeFrom="margin">
                          <wp14:pctPosHOffset>77000</wp14:pctPosHOffset>
                        </wp:positionH>
                      </mc:Choice>
                      <mc:Fallback>
                        <wp:positionH relativeFrom="page">
                          <wp:posOffset>5758180</wp:posOffset>
                        </wp:positionH>
                      </mc:Fallback>
                    </mc:AlternateContent>
                    <wp:positionV relativeFrom="bottomMargin">
                      <wp:posOffset>9144000</wp:posOffset>
                    </wp:positionV>
                    <wp:extent cx="548640" cy="548640"/>
                    <wp:effectExtent l="6764655" t="9332595" r="6764655" b="9332595"/>
                    <wp:wrapNone/>
                    <wp:docPr id="1079" name="shape1056"/>
                    <wp:cNvGraphicFramePr/>
                    <a:graphic xmlns:a="http://schemas.openxmlformats.org/drawingml/2006/main">
                      <a:graphicData uri="http://schemas.microsoft.com/office/word/2010/wordprocessingGroup">
                        <wpg:wgp>
                          <wpg:cNvGrpSpPr/>
                          <wpg:grpSpPr>
                            <a:xfrm>
                              <a:off x="0" y="0"/>
                              <a:ext cx="548640" cy="548640"/>
                              <a:chOff x="10653" y="14697"/>
                              <a:chExt cx="864" cy="864"/>
                            </a:xfrm>
                          </wpg:grpSpPr>
                          <wps:wsp>
                            <wps:cNvPr id="1080" name="child 1"/>
                            <wps:cNvSpPr>
                              <a:spLocks/>
                            </wps:cNvSpPr>
                            <wps:spPr>
                              <a:xfrm flipH="1">
                                <a:off x="10860" y="14898"/>
                                <a:ext cx="297" cy="303"/>
                              </a:xfrm>
                              <a:prstGeom prst="ellipse">
                                <a:avLst/>
                              </a:prstGeom>
                              <a:solidFill>
                                <a:srgbClr val="FE8637"/>
                              </a:solidFill>
                              <a:ln w="38100" cmpd="dbl">
                                <a:solidFill>
                                  <a:srgbClr val="FE8637"/>
                                </a:solidFill>
                              </a:ln>
                            </wps:spPr>
                            <wps:bodyPr rot="0" vert="horz" wrap="square" lIns="91440" tIns="45720" rIns="91440" bIns="45720" anchor="t" upright="1">
                              <a:noAutofit/>
                            </wps:bodyPr>
                          </wps:wsp>
                          <wps:wsp>
                            <wps:cNvPr id="1081" name="child 2"/>
                            <wps:cNvSpPr>
                              <a:spLocks/>
                            </wps:cNvSpPr>
                            <wps:spPr>
                              <a:xfrm>
                                <a:off x="10653" y="14697"/>
                                <a:ext cx="864" cy="864"/>
                              </a:xfrm>
                              <a:prstGeom prst="rect">
                                <a:avLst/>
                              </a:prstGeom>
                              <a:noFill/>
                              <a:ln>
                                <a:noFill/>
                              </a:ln>
                            </wps:spPr>
                            <wps:bodyPr rot="0" vert="horz" wrap="square" lIns="91440" tIns="45720" rIns="91440" bIns="45720" anchor="t" upright="1">
                              <a:noAutofit/>
                            </wps:bodyPr>
                          </wps:wsp>
                        </wpg:wgp>
                      </a:graphicData>
                    </a:graphic>
                  </wp:anchor>
                </w:drawing>
              </mc:Choice>
              <mc:Fallback>
                <w:pict>
                  <v:group w14:anchorId="3A748D17" id="shape1056" o:spid="_x0000_s1026" style="position:absolute;margin-left:0;margin-top:10in;width:43.2pt;height:43.2pt;z-index:251656192;mso-left-percent:770;mso-position-horizontal-relative:margin;mso-position-vertical-relative:bottom-margin-area;mso-left-percent:770"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A1sGMmigIAAO4GAAAOAAAAAAAAAAAAAAAAAC4CAABkcnMvZTJvRG9jLnhtbFBLAQItABQABgAI&#10;AAAAIQCQ/EnS3AAAAAkBAAAPAAAAAAAAAAAAAAAAAOQEAABkcnMvZG93bnJldi54bWxQSwUGAAAA&#10;AAQABADzAAAA7QUAAAAA&#10;">
                    <v:oval id="child 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" fillcolor="#fe8637" strokecolor="#fe8637" strokeweight="3pt">
                      <v:stroke linestyle="thinThin"/>
                      <v:path arrowok="t"/>
                    </v:oval>
                    <v:rect id="child 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" filled="f" stroked="f"/>
                    <w10:wrap anchorx="margin" anchory="margin"/>
                  </v:group>
                </w:pict>
              </mc:Fallback>
            </mc:AlternateContent>
          </w:r>
          <w:r w:rsidRPr="00624126">
            <w:rPr>
              <w:rFonts w:ascii="Calibri" w:eastAsia="Calibri" w:hAnsi="Calibri" w:cs="Calibri"/>
              <w:smallCaps/>
              <w:noProof/>
              <w:color w:val="5B9BD5"/>
              <w:spacing w:val="10"/>
              <w:sz w:val="44"/>
              <w:szCs w:val="44"/>
              <w:lang w:eastAsia="en-US"/>
            </w:rPr>
            <mc:AlternateContent>
              <mc:Choice Requires="wpg">
                <w:drawing>
                  <wp:anchor distT="0" distB="0" distL="114300" distR="114300" simplePos="0" relativeHeight="251658240" behindDoc="0" locked="0" layoutInCell="1" hidden="0" allowOverlap="1" wp14:anchorId="3B9AFBA2" wp14:editId="43B4431A">
                    <wp:simplePos x="0" y="0"/>
                    <mc:AlternateContent>
                      <mc:Choice Requires="wp14">
                        <wp:positionH relativeFrom="margin">
                          <wp14:pctPosHOffset>77000</wp14:pctPosHOffset>
                        </wp:positionH>
                      </mc:Choice>
                      <mc:Fallback>
                        <wp:positionH relativeFrom="page">
                          <wp:posOffset>5758180</wp:posOffset>
                        </wp:positionH>
                      </mc:Fallback>
                    </mc:AlternateContent>
                    <wp:positionV relativeFrom="bottomMargin">
                      <wp:posOffset>9144000</wp:posOffset>
                    </wp:positionV>
                    <wp:extent cx="548640" cy="548640"/>
                    <wp:effectExtent l="6764655" t="9332595" r="6764655" b="9332595"/>
                    <wp:wrapNone/>
                    <wp:docPr id="1082" name="shape1059"/>
                    <wp:cNvGraphicFramePr/>
                    <a:graphic xmlns:a="http://schemas.openxmlformats.org/drawingml/2006/main">
                      <a:graphicData uri="http://schemas.microsoft.com/office/word/2010/wordprocessingGroup">
                        <wpg:wgp>
                          <wpg:cNvGrpSpPr/>
                          <wpg:grpSpPr>
                            <a:xfrm>
                              <a:off x="0" y="0"/>
                              <a:ext cx="548640" cy="548640"/>
                              <a:chOff x="10653" y="14697"/>
                              <a:chExt cx="864" cy="864"/>
                            </a:xfrm>
                          </wpg:grpSpPr>
                          <wps:wsp>
                            <wps:cNvPr id="1083" name="child 1"/>
                            <wps:cNvSpPr>
                              <a:spLocks/>
                            </wps:cNvSpPr>
                            <wps:spPr>
                              <a:xfrm flipH="1">
                                <a:off x="10860" y="14898"/>
                                <a:ext cx="297" cy="303"/>
                              </a:xfrm>
                              <a:prstGeom prst="ellipse">
                                <a:avLst/>
                              </a:prstGeom>
                              <a:solidFill>
                                <a:srgbClr val="FE8637"/>
                              </a:solidFill>
                              <a:ln w="38100" cmpd="dbl">
                                <a:solidFill>
                                  <a:srgbClr val="FE8637"/>
                                </a:solidFill>
                              </a:ln>
                            </wps:spPr>
                            <wps:bodyPr rot="0" vert="horz" wrap="square" lIns="91440" tIns="45720" rIns="91440" bIns="45720" anchor="t" upright="1">
                              <a:noAutofit/>
                            </wps:bodyPr>
                          </wps:wsp>
                          <wps:wsp>
                            <wps:cNvPr id="1084" name="child 2"/>
                            <wps:cNvSpPr>
                              <a:spLocks/>
                            </wps:cNvSpPr>
                            <wps:spPr>
                              <a:xfrm>
                                <a:off x="10653" y="14697"/>
                                <a:ext cx="864" cy="864"/>
                              </a:xfrm>
                              <a:prstGeom prst="rect">
                                <a:avLst/>
                              </a:prstGeom>
                              <a:noFill/>
                              <a:ln>
                                <a:noFill/>
                              </a:ln>
                            </wps:spPr>
                            <wps:bodyPr rot="0" vert="horz" wrap="square" lIns="91440" tIns="45720" rIns="91440" bIns="45720" anchor="t" upright="1">
                              <a:noAutofit/>
                            </wps:bodyPr>
                          </wps:wsp>
                        </wpg:wgp>
                      </a:graphicData>
                    </a:graphic>
                  </wp:anchor>
                </w:drawing>
              </mc:Choice>
              <mc:Fallback>
                <w:pict>
                  <v:group w14:anchorId="2EEF20E9" id="shape1059" o:spid="_x0000_s1026" style="position:absolute;margin-left:0;margin-top:10in;width:43.2pt;height:43.2pt;z-index:251658240;mso-left-percent:770;mso-position-horizontal-relative:margin;mso-position-vertical-relative:bottom-margin-area;mso-left-percent:770"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J/IS3YsCAADuBgAADgAAAAAAAAAAAAAAAAAuAgAAZHJzL2Uyb0RvYy54bWxQSwECLQAUAAYA&#10;CAAAACEAkPxJ0twAAAAJAQAADwAAAAAAAAAAAAAAAADlBAAAZHJzL2Rvd25yZXYueG1sUEsFBgAA&#10;AAAEAAQA8wAAAO4FAAAAAA==&#10;">
                    <v:oval id="child 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" fillcolor="#fe8637" strokecolor="#fe8637" strokeweight="3pt">
                      <v:stroke linestyle="thinThin"/>
                      <v:path arrowok="t"/>
                    </v:oval>
                    <v:rect id="child 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" filled="f" stroked="f"/>
                    <w10:wrap anchorx="margin" anchory="margin"/>
                  </v:group>
                </w:pict>
              </mc:Fallback>
            </mc:AlternateContent>
          </w:r>
          <w:r w:rsidRPr="00624126">
            <w:rPr>
              <w:rFonts w:ascii="Calibri" w:eastAsia="Calibri" w:hAnsi="Calibri" w:cs="Calibri"/>
              <w:smallCaps/>
              <w:noProof/>
              <w:color w:val="5B9BD5"/>
              <w:spacing w:val="10"/>
              <w:sz w:val="44"/>
              <w:szCs w:val="44"/>
              <w:lang w:eastAsia="en-US"/>
            </w:rPr>
            <mc:AlternateContent>
              <mc:Choice Requires="wpg">
                <w:drawing>
                  <wp:anchor distT="0" distB="0" distL="114300" distR="114300" simplePos="0" relativeHeight="251660288" behindDoc="0" locked="0" layoutInCell="1" hidden="0" allowOverlap="1" wp14:anchorId="757F20B2" wp14:editId="29164E38">
                    <wp:simplePos x="0" y="0"/>
                    <mc:AlternateContent>
                      <mc:Choice Requires="wp14">
                        <wp:positionH relativeFrom="margin">
                          <wp14:pctPosHOffset>77000</wp14:pctPosHOffset>
                        </wp:positionH>
                      </mc:Choice>
                      <mc:Fallback>
                        <wp:positionH relativeFrom="page">
                          <wp:posOffset>5758180</wp:posOffset>
                        </wp:positionH>
                      </mc:Fallback>
                    </mc:AlternateContent>
                    <wp:positionV relativeFrom="bottomMargin">
                      <wp:posOffset>9144000</wp:posOffset>
                    </wp:positionV>
                    <wp:extent cx="548640" cy="548640"/>
                    <wp:effectExtent l="6764655" t="9332595" r="6764655" b="9332595"/>
                    <wp:wrapNone/>
                    <wp:docPr id="1062" name="shape1062"/>
                    <wp:cNvGraphicFramePr/>
                    <a:graphic xmlns:a="http://schemas.openxmlformats.org/drawingml/2006/main">
                      <a:graphicData uri="http://schemas.microsoft.com/office/word/2010/wordprocessingGroup">
                        <wpg:wgp>
                          <wpg:cNvGrpSpPr/>
                          <wpg:grpSpPr>
                            <a:xfrm>
                              <a:off x="0" y="0"/>
                              <a:ext cx="548640" cy="548640"/>
                              <a:chOff x="10653" y="14697"/>
                              <a:chExt cx="864" cy="864"/>
                            </a:xfrm>
                          </wpg:grpSpPr>
                          <wps:wsp>
                            <wps:cNvPr id="25" name="child 1"/>
                            <wps:cNvSpPr>
                              <a:spLocks/>
                            </wps:cNvSpPr>
                            <wps:spPr>
                              <a:xfrm flipH="1">
                                <a:off x="10860" y="14898"/>
                                <a:ext cx="297" cy="303"/>
                              </a:xfrm>
                              <a:prstGeom prst="ellipse">
                                <a:avLst/>
                              </a:prstGeom>
                              <a:solidFill>
                                <a:srgbClr val="FE8637"/>
                              </a:solidFill>
                              <a:ln w="38100" cmpd="dbl">
                                <a:solidFill>
                                  <a:srgbClr val="FE8637"/>
                                </a:solidFill>
                              </a:ln>
                            </wps:spPr>
                            <wps:bodyPr rot="0" vert="horz" wrap="square" lIns="91440" tIns="45720" rIns="91440" bIns="45720" anchor="t" upright="1">
                              <a:noAutofit/>
                            </wps:bodyPr>
                          </wps:wsp>
                          <wps:wsp>
                            <wps:cNvPr id="26" name="child 2"/>
                            <wps:cNvSpPr>
                              <a:spLocks/>
                            </wps:cNvSpPr>
                            <wps:spPr>
                              <a:xfrm>
                                <a:off x="10653" y="14697"/>
                                <a:ext cx="864" cy="864"/>
                              </a:xfrm>
                              <a:prstGeom prst="rect">
                                <a:avLst/>
                              </a:prstGeom>
                              <a:noFill/>
                              <a:ln>
                                <a:noFill/>
                              </a:ln>
                            </wps:spPr>
                            <wps:bodyPr rot="0" vert="horz" wrap="square" lIns="91440" tIns="45720" rIns="91440" bIns="45720" anchor="t" upright="1">
                              <a:noAutofit/>
                            </wps:bodyPr>
                          </wps:wsp>
                        </wpg:wgp>
                      </a:graphicData>
                    </a:graphic>
                  </wp:anchor>
                </w:drawing>
              </mc:Choice>
              <mc:Fallback>
                <w:pict>
                  <v:group w14:anchorId="03C7871A" id="shape1062" o:spid="_x0000_s1026" style="position:absolute;margin-left:0;margin-top:10in;width:43.2pt;height:43.2pt;z-index:251660288;mso-left-percent:770;mso-position-horizontal-relative:margin;mso-position-vertical-relative:bottom-margin-area;mso-left-percent:770"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Du0UE5igIAAOoGAAAOAAAAAAAAAAAAAAAAAC4CAABkcnMvZTJvRG9jLnhtbFBLAQItABQABgAI&#10;AAAAIQCQ/EnS3AAAAAkBAAAPAAAAAAAAAAAAAAAAAOQEAABkcnMvZG93bnJldi54bWxQSwUGAAAA&#10;AAQABADzAAAA7QUAAAAA&#10;">
                    <v:oval id="child 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" fillcolor="#fe8637" strokecolor="#fe8637" strokeweight="3pt">
                      <v:stroke linestyle="thinThin"/>
                      <v:path arrowok="t"/>
                    </v:oval>
                    <v:rect id="child 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w10:wrap anchorx="margin" anchory="margin"/>
                  </v:group>
                </w:pict>
              </mc:Fallback>
            </mc:AlternateContent>
          </w:r>
          <w:r w:rsidRPr="00624126">
            <w:rPr>
              <w:rFonts w:ascii="Calibri" w:eastAsia="Calibri" w:hAnsi="Calibri" w:cs="Calibri"/>
              <w:smallCaps/>
              <w:noProof/>
              <w:color w:val="5B9BD5"/>
              <w:spacing w:val="10"/>
              <w:sz w:val="44"/>
              <w:szCs w:val="44"/>
              <w:lang w:eastAsia="en-US"/>
            </w:rPr>
            <mc:AlternateContent>
              <mc:Choice Requires="wpg">
                <w:drawing>
                  <wp:anchor distT="0" distB="0" distL="114300" distR="114300" simplePos="0" relativeHeight="251662336" behindDoc="0" locked="0" layoutInCell="1" hidden="0" allowOverlap="1" wp14:anchorId="57C37011" wp14:editId="7FAF1F14">
                    <wp:simplePos x="0" y="0"/>
                    <mc:AlternateContent>
                      <mc:Choice Requires="wp14">
                        <wp:positionH relativeFrom="margin">
                          <wp14:pctPosHOffset>77000</wp14:pctPosHOffset>
                        </wp:positionH>
                      </mc:Choice>
                      <mc:Fallback>
                        <wp:positionH relativeFrom="page">
                          <wp:posOffset>5758180</wp:posOffset>
                        </wp:positionH>
                      </mc:Fallback>
                    </mc:AlternateContent>
                    <wp:positionV relativeFrom="bottomMargin">
                      <wp:posOffset>9144000</wp:posOffset>
                    </wp:positionV>
                    <wp:extent cx="548640" cy="548640"/>
                    <wp:effectExtent l="6764655" t="9332595" r="6764655" b="9332595"/>
                    <wp:wrapNone/>
                    <wp:docPr id="1085" name="shape1065"/>
                    <wp:cNvGraphicFramePr/>
                    <a:graphic xmlns:a="http://schemas.openxmlformats.org/drawingml/2006/main">
                      <a:graphicData uri="http://schemas.microsoft.com/office/word/2010/wordprocessingGroup">
                        <wpg:wgp>
                          <wpg:cNvGrpSpPr/>
                          <wpg:grpSpPr>
                            <a:xfrm>
                              <a:off x="0" y="0"/>
                              <a:ext cx="548640" cy="548640"/>
                              <a:chOff x="10653" y="14697"/>
                              <a:chExt cx="864" cy="864"/>
                            </a:xfrm>
                          </wpg:grpSpPr>
                          <wps:wsp>
                            <wps:cNvPr id="1086" name="child 1"/>
                            <wps:cNvSpPr>
                              <a:spLocks/>
                            </wps:cNvSpPr>
                            <wps:spPr>
                              <a:xfrm flipH="1">
                                <a:off x="10860" y="14898"/>
                                <a:ext cx="297" cy="303"/>
                              </a:xfrm>
                              <a:prstGeom prst="ellipse">
                                <a:avLst/>
                              </a:prstGeom>
                              <a:solidFill>
                                <a:srgbClr val="FE8637"/>
                              </a:solidFill>
                              <a:ln w="38100" cmpd="dbl">
                                <a:solidFill>
                                  <a:srgbClr val="FE8637"/>
                                </a:solidFill>
                              </a:ln>
                            </wps:spPr>
                            <wps:bodyPr rot="0" vert="horz" wrap="square" lIns="91440" tIns="45720" rIns="91440" bIns="45720" anchor="t" upright="1">
                              <a:noAutofit/>
                            </wps:bodyPr>
                          </wps:wsp>
                          <wps:wsp>
                            <wps:cNvPr id="1087" name="child 2"/>
                            <wps:cNvSpPr>
                              <a:spLocks/>
                            </wps:cNvSpPr>
                            <wps:spPr>
                              <a:xfrm>
                                <a:off x="10653" y="14697"/>
                                <a:ext cx="864" cy="864"/>
                              </a:xfrm>
                              <a:prstGeom prst="rect">
                                <a:avLst/>
                              </a:prstGeom>
                              <a:noFill/>
                              <a:ln>
                                <a:noFill/>
                              </a:ln>
                            </wps:spPr>
                            <wps:bodyPr rot="0" vert="horz" wrap="square" lIns="91440" tIns="45720" rIns="91440" bIns="45720" anchor="t" upright="1">
                              <a:noAutofit/>
                            </wps:bodyPr>
                          </wps:wsp>
                        </wpg:wgp>
                      </a:graphicData>
                    </a:graphic>
                  </wp:anchor>
                </w:drawing>
              </mc:Choice>
              <mc:Fallback>
                <w:pict>
                  <v:group w14:anchorId="68D08DC5" id="shape1065" o:spid="_x0000_s1026" style="position:absolute;margin-left:0;margin-top:10in;width:43.2pt;height:43.2pt;z-index:251662336;mso-left-percent:770;mso-position-horizontal-relative:margin;mso-position-vertical-relative:bottom-margin-area;mso-left-percent:770"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ks6vPYsCAADuBgAADgAAAAAAAAAAAAAAAAAuAgAAZHJzL2Uyb0RvYy54bWxQSwECLQAUAAYA&#10;CAAAACEAkPxJ0twAAAAJAQAADwAAAAAAAAAAAAAAAADlBAAAZHJzL2Rvd25yZXYueG1sUEsFBgAA&#10;AAAEAAQA8wAAAO4FAAAAAA==&#10;">
                    <v:oval id="child 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" fillcolor="#fe8637" strokecolor="#fe8637" strokeweight="3pt">
                      <v:stroke linestyle="thinThin"/>
                      <v:path arrowok="t"/>
                    </v:oval>
                    <v:rect id="child 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" filled="f" stroked="f"/>
                    <w10:wrap anchorx="margin" anchory="margin"/>
                  </v:group>
                </w:pict>
              </mc:Fallback>
            </mc:AlternateContent>
          </w:r>
          <w:r w:rsidRPr="00624126">
            <w:rPr>
              <w:rFonts w:ascii="Calibri" w:eastAsia="Calibri" w:hAnsi="Calibri" w:cs="Calibri"/>
              <w:smallCaps/>
              <w:noProof/>
              <w:color w:val="5B9BD5"/>
              <w:spacing w:val="10"/>
              <w:sz w:val="44"/>
              <w:szCs w:val="44"/>
              <w:lang w:eastAsia="en-US"/>
            </w:rPr>
            <mc:AlternateContent>
              <mc:Choice Requires="wpg">
                <w:drawing>
                  <wp:anchor distT="0" distB="0" distL="114300" distR="114300" simplePos="0" relativeHeight="251664384" behindDoc="0" locked="0" layoutInCell="1" hidden="0" allowOverlap="1" wp14:anchorId="7C483979" wp14:editId="79D1D6DB">
                    <wp:simplePos x="0" y="0"/>
                    <mc:AlternateContent>
                      <mc:Choice Requires="wp14">
                        <wp:positionH relativeFrom="margin">
                          <wp14:pctPosHOffset>77000</wp14:pctPosHOffset>
                        </wp:positionH>
                      </mc:Choice>
                      <mc:Fallback>
                        <wp:positionH relativeFrom="page">
                          <wp:posOffset>5758180</wp:posOffset>
                        </wp:positionH>
                      </mc:Fallback>
                    </mc:AlternateContent>
                    <wp:positionV relativeFrom="bottomMargin">
                      <wp:posOffset>9144000</wp:posOffset>
                    </wp:positionV>
                    <wp:extent cx="548640" cy="548640"/>
                    <wp:effectExtent l="6764655" t="9332595" r="6764655" b="9332595"/>
                    <wp:wrapNone/>
                    <wp:docPr id="1088" name="shape1068"/>
                    <wp:cNvGraphicFramePr/>
                    <a:graphic xmlns:a="http://schemas.openxmlformats.org/drawingml/2006/main">
                      <a:graphicData uri="http://schemas.microsoft.com/office/word/2010/wordprocessingGroup">
                        <wpg:wgp>
                          <wpg:cNvGrpSpPr/>
                          <wpg:grpSpPr>
                            <a:xfrm>
                              <a:off x="0" y="0"/>
                              <a:ext cx="548640" cy="548640"/>
                              <a:chOff x="10653" y="14697"/>
                              <a:chExt cx="864" cy="864"/>
                            </a:xfrm>
                          </wpg:grpSpPr>
                          <wps:wsp>
                            <wps:cNvPr id="1089" name="child 1"/>
                            <wps:cNvSpPr>
                              <a:spLocks/>
                            </wps:cNvSpPr>
                            <wps:spPr>
                              <a:xfrm flipH="1">
                                <a:off x="10860" y="14898"/>
                                <a:ext cx="297" cy="303"/>
                              </a:xfrm>
                              <a:prstGeom prst="ellipse">
                                <a:avLst/>
                              </a:prstGeom>
                              <a:solidFill>
                                <a:srgbClr val="FE8637"/>
                              </a:solidFill>
                              <a:ln w="38100" cmpd="dbl">
                                <a:solidFill>
                                  <a:srgbClr val="FE8637"/>
                                </a:solidFill>
                              </a:ln>
                            </wps:spPr>
                            <wps:bodyPr rot="0" vert="horz" wrap="square" lIns="91440" tIns="45720" rIns="91440" bIns="45720" anchor="t" upright="1">
                              <a:noAutofit/>
                            </wps:bodyPr>
                          </wps:wsp>
                          <wps:wsp>
                            <wps:cNvPr id="1090" name="child 2"/>
                            <wps:cNvSpPr>
                              <a:spLocks/>
                            </wps:cNvSpPr>
                            <wps:spPr>
                              <a:xfrm>
                                <a:off x="10653" y="14697"/>
                                <a:ext cx="864" cy="864"/>
                              </a:xfrm>
                              <a:prstGeom prst="rect">
                                <a:avLst/>
                              </a:prstGeom>
                              <a:noFill/>
                              <a:ln>
                                <a:noFill/>
                              </a:ln>
                            </wps:spPr>
                            <wps:bodyPr rot="0" vert="horz" wrap="square" lIns="91440" tIns="45720" rIns="91440" bIns="45720" anchor="t" upright="1">
                              <a:noAutofit/>
                            </wps:bodyPr>
                          </wps:wsp>
                        </wpg:wgp>
                      </a:graphicData>
                    </a:graphic>
                  </wp:anchor>
                </w:drawing>
              </mc:Choice>
              <mc:Fallback>
                <w:pict>
                  <v:group w14:anchorId="46599DB4" id="shape1068" o:spid="_x0000_s1026" style="position:absolute;margin-left:0;margin-top:10in;width:43.2pt;height:43.2pt;z-index:251664384;mso-left-percent:770;mso-position-horizontal-relative:margin;mso-position-vertical-relative:bottom-margin-area;mso-left-percent:770"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NvNMcWMAgAA7gYAAA4AAAAAAAAAAAAAAAAALgIAAGRycy9lMm9Eb2MueG1sUEsBAi0AFAAG&#10;AAgAAAAhAJD8SdLcAAAACQEAAA8AAAAAAAAAAAAAAAAA5gQAAGRycy9kb3ducmV2LnhtbFBLBQYA&#10;AAAABAAEAPMAAADvBQAAAAA=&#10;">
                    <v:oval id="child 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" fillcolor="#fe8637" strokecolor="#fe8637" strokeweight="3pt">
                      <v:stroke linestyle="thinThin"/>
                      <v:path arrowok="t"/>
                    </v:oval>
                    <v:rect id="child 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" filled="f" stroked="f"/>
                    <w10:wrap anchorx="margin" anchory="margin"/>
                  </v:group>
                </w:pict>
              </mc:Fallback>
            </mc:AlternateContent>
          </w:r>
          <w:r w:rsidRPr="00624126">
            <w:rPr>
              <w:rFonts w:ascii="Calibri" w:eastAsia="Calibri" w:hAnsi="Calibri" w:cs="Calibri"/>
              <w:smallCaps/>
              <w:noProof/>
              <w:color w:val="5B9BD5"/>
              <w:spacing w:val="10"/>
              <w:sz w:val="44"/>
              <w:szCs w:val="44"/>
              <w:lang w:eastAsia="en-US"/>
            </w:rPr>
            <mc:AlternateContent>
              <mc:Choice Requires="wpg">
                <w:drawing>
                  <wp:anchor distT="0" distB="0" distL="114300" distR="114300" simplePos="0" relativeHeight="251666432" behindDoc="0" locked="0" layoutInCell="1" hidden="0" allowOverlap="1" wp14:anchorId="022C922A" wp14:editId="02EFF974">
                    <wp:simplePos x="0" y="0"/>
                    <mc:AlternateContent>
                      <mc:Choice Requires="wp14">
                        <wp:positionH relativeFrom="margin">
                          <wp14:pctPosHOffset>77000</wp14:pctPosHOffset>
                        </wp:positionH>
                      </mc:Choice>
                      <mc:Fallback>
                        <wp:positionH relativeFrom="page">
                          <wp:posOffset>5758180</wp:posOffset>
                        </wp:positionH>
                      </mc:Fallback>
                    </mc:AlternateContent>
                    <wp:positionV relativeFrom="bottomMargin">
                      <wp:posOffset>9144000</wp:posOffset>
                    </wp:positionV>
                    <wp:extent cx="548640" cy="548640"/>
                    <wp:effectExtent l="6764655" t="9332595" r="6764655" b="9332595"/>
                    <wp:wrapNone/>
                    <wp:docPr id="1071" name="shape1071"/>
                    <wp:cNvGraphicFramePr/>
                    <a:graphic xmlns:a="http://schemas.openxmlformats.org/drawingml/2006/main">
                      <a:graphicData uri="http://schemas.microsoft.com/office/word/2010/wordprocessingGroup">
                        <wpg:wgp>
                          <wpg:cNvGrpSpPr/>
                          <wpg:grpSpPr>
                            <a:xfrm>
                              <a:off x="0" y="0"/>
                              <a:ext cx="548640" cy="548640"/>
                              <a:chOff x="10653" y="14697"/>
                              <a:chExt cx="864" cy="864"/>
                            </a:xfrm>
                          </wpg:grpSpPr>
                          <wps:wsp>
                            <wps:cNvPr id="31" name="child 1"/>
                            <wps:cNvSpPr>
                              <a:spLocks/>
                            </wps:cNvSpPr>
                            <wps:spPr>
                              <a:xfrm flipH="1">
                                <a:off x="10860" y="14898"/>
                                <a:ext cx="297" cy="303"/>
                              </a:xfrm>
                              <a:prstGeom prst="ellipse">
                                <a:avLst/>
                              </a:prstGeom>
                              <a:solidFill>
                                <a:srgbClr val="FE8637"/>
                              </a:solidFill>
                              <a:ln w="38100" cmpd="dbl">
                                <a:solidFill>
                                  <a:srgbClr val="FE8637"/>
                                </a:solidFill>
                              </a:ln>
                            </wps:spPr>
                            <wps:bodyPr rot="0" vert="horz" wrap="square" lIns="91440" tIns="45720" rIns="91440" bIns="45720" anchor="t" upright="1">
                              <a:noAutofit/>
                            </wps:bodyPr>
                          </wps:wsp>
                          <wps:wsp>
                            <wps:cNvPr id="32" name="child 2"/>
                            <wps:cNvSpPr>
                              <a:spLocks/>
                            </wps:cNvSpPr>
                            <wps:spPr>
                              <a:xfrm>
                                <a:off x="10653" y="14697"/>
                                <a:ext cx="864" cy="864"/>
                              </a:xfrm>
                              <a:prstGeom prst="rect">
                                <a:avLst/>
                              </a:prstGeom>
                              <a:noFill/>
                              <a:ln>
                                <a:noFill/>
                              </a:ln>
                            </wps:spPr>
                            <wps:bodyPr rot="0" vert="horz" wrap="square" lIns="91440" tIns="45720" rIns="91440" bIns="45720" anchor="t" upright="1">
                              <a:noAutofit/>
                            </wps:bodyPr>
                          </wps:wsp>
                        </wpg:wgp>
                      </a:graphicData>
                    </a:graphic>
                  </wp:anchor>
                </w:drawing>
              </mc:Choice>
              <mc:Fallback>
                <w:pict>
                  <v:group w14:anchorId="75187F11" id="shape1071" o:spid="_x0000_s1026" style="position:absolute;margin-left:0;margin-top:10in;width:43.2pt;height:43.2pt;z-index:251666432;mso-left-percent:770;mso-position-horizontal-relative:margin;mso-position-vertical-relative:bottom-margin-area;mso-left-percent:770"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CoUnCyigIAAOoGAAAOAAAAAAAAAAAAAAAAAC4CAABkcnMvZTJvRG9jLnhtbFBLAQItABQABgAI&#10;AAAAIQCQ/EnS3AAAAAkBAAAPAAAAAAAAAAAAAAAAAOQEAABkcnMvZG93bnJldi54bWxQSwUGAAAA&#10;AAQABADzAAAA7QUAAAAA&#10;">
                    <v:oval id="child 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" fillcolor="#fe8637" strokecolor="#fe8637" strokeweight="3pt">
                      <v:stroke linestyle="thinThin"/>
                      <v:path arrowok="t"/>
                    </v:oval>
                    <v:rect id="child 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filled="f" stroked="f"/>
                    <w10:wrap anchorx="margin" anchory="margin"/>
                  </v:group>
                </w:pict>
              </mc:Fallback>
            </mc:AlternateContent>
          </w:r>
          <w:r w:rsidRPr="00624126">
            <w:rPr>
              <w:rFonts w:ascii="Calibri" w:eastAsia="Calibri" w:hAnsi="Calibri" w:cs="Calibri"/>
              <w:smallCaps/>
              <w:noProof/>
              <w:color w:val="5B9BD5"/>
              <w:spacing w:val="10"/>
              <w:sz w:val="44"/>
              <w:szCs w:val="44"/>
              <w:lang w:eastAsia="en-US"/>
            </w:rPr>
            <mc:AlternateContent>
              <mc:Choice Requires="wpg">
                <w:drawing>
                  <wp:anchor distT="0" distB="0" distL="114300" distR="114300" simplePos="0" relativeHeight="251668480" behindDoc="0" locked="0" layoutInCell="1" hidden="0" allowOverlap="1" wp14:anchorId="4B41805A" wp14:editId="2AE5E9CA">
                    <wp:simplePos x="0" y="0"/>
                    <mc:AlternateContent>
                      <mc:Choice Requires="wp14">
                        <wp:positionH relativeFrom="margin">
                          <wp14:pctPosHOffset>77000</wp14:pctPosHOffset>
                        </wp:positionH>
                      </mc:Choice>
                      <mc:Fallback>
                        <wp:positionH relativeFrom="page">
                          <wp:posOffset>5758180</wp:posOffset>
                        </wp:positionH>
                      </mc:Fallback>
                    </mc:AlternateContent>
                    <wp:positionV relativeFrom="bottomMargin">
                      <wp:posOffset>9144000</wp:posOffset>
                    </wp:positionV>
                    <wp:extent cx="548640" cy="548640"/>
                    <wp:effectExtent l="6764655" t="9332595" r="6764655" b="9332595"/>
                    <wp:wrapNone/>
                    <wp:docPr id="1091" name="shape1074"/>
                    <wp:cNvGraphicFramePr/>
                    <a:graphic xmlns:a="http://schemas.openxmlformats.org/drawingml/2006/main">
                      <a:graphicData uri="http://schemas.microsoft.com/office/word/2010/wordprocessingGroup">
                        <wpg:wgp>
                          <wpg:cNvGrpSpPr/>
                          <wpg:grpSpPr>
                            <a:xfrm>
                              <a:off x="0" y="0"/>
                              <a:ext cx="548640" cy="548640"/>
                              <a:chOff x="10653" y="14697"/>
                              <a:chExt cx="864" cy="864"/>
                            </a:xfrm>
                          </wpg:grpSpPr>
                          <wps:wsp>
                            <wps:cNvPr id="1092" name="child 1"/>
                            <wps:cNvSpPr>
                              <a:spLocks/>
                            </wps:cNvSpPr>
                            <wps:spPr>
                              <a:xfrm flipH="1">
                                <a:off x="10860" y="14898"/>
                                <a:ext cx="297" cy="303"/>
                              </a:xfrm>
                              <a:prstGeom prst="ellipse">
                                <a:avLst/>
                              </a:prstGeom>
                              <a:solidFill>
                                <a:srgbClr val="FE8637"/>
                              </a:solidFill>
                              <a:ln w="38100" cmpd="dbl">
                                <a:solidFill>
                                  <a:srgbClr val="FE8637"/>
                                </a:solidFill>
                              </a:ln>
                            </wps:spPr>
                            <wps:bodyPr rot="0" vert="horz" wrap="square" lIns="91440" tIns="45720" rIns="91440" bIns="45720" anchor="t" upright="1">
                              <a:noAutofit/>
                            </wps:bodyPr>
                          </wps:wsp>
                          <wps:wsp>
                            <wps:cNvPr id="1093" name="child 2"/>
                            <wps:cNvSpPr>
                              <a:spLocks/>
                            </wps:cNvSpPr>
                            <wps:spPr>
                              <a:xfrm>
                                <a:off x="10653" y="14697"/>
                                <a:ext cx="864" cy="864"/>
                              </a:xfrm>
                              <a:prstGeom prst="rect">
                                <a:avLst/>
                              </a:prstGeom>
                              <a:noFill/>
                              <a:ln>
                                <a:noFill/>
                              </a:ln>
                            </wps:spPr>
                            <wps:bodyPr rot="0" vert="horz" wrap="square" lIns="91440" tIns="45720" rIns="91440" bIns="45720" anchor="t" upright="1">
                              <a:noAutofit/>
                            </wps:bodyPr>
                          </wps:wsp>
                        </wpg:wgp>
                      </a:graphicData>
                    </a:graphic>
                  </wp:anchor>
                </w:drawing>
              </mc:Choice>
              <mc:Fallback>
                <w:pict>
                  <v:group w14:anchorId="5CCA6BAA" id="shape1074" o:spid="_x0000_s1026" style="position:absolute;margin-left:0;margin-top:10in;width:43.2pt;height:43.2pt;z-index:251668480;mso-left-percent:770;mso-position-horizontal-relative:margin;mso-position-vertical-relative:bottom-margin-area;mso-left-percent:770"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L5PfGiMAgAA7gYAAA4AAAAAAAAAAAAAAAAALgIAAGRycy9lMm9Eb2MueG1sUEsBAi0AFAAG&#10;AAgAAAAhAJD8SdLcAAAACQEAAA8AAAAAAAAAAAAAAAAA5gQAAGRycy9kb3ducmV2LnhtbFBLBQYA&#10;AAAABAAEAPMAAADvBQAAAAA=&#10;">
                    <v:oval id="child 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" fillcolor="#fe8637" strokecolor="#fe8637" strokeweight="3pt">
                      <v:stroke linestyle="thinThin"/>
                      <v:path arrowok="t"/>
                    </v:oval>
                    <v:rect id="child 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" filled="f" stroked="f"/>
                    <w10:wrap anchorx="margin" anchory="margin"/>
                  </v:group>
                </w:pict>
              </mc:Fallback>
            </mc:AlternateContent>
          </w:r>
          <w:r w:rsidRPr="00624126">
            <w:rPr>
              <w:rFonts w:ascii="Calibri" w:eastAsia="Calibri" w:hAnsi="Calibri" w:cs="Calibri"/>
              <w:smallCaps/>
              <w:noProof/>
              <w:color w:val="5B9BD5"/>
              <w:spacing w:val="10"/>
              <w:sz w:val="44"/>
              <w:szCs w:val="44"/>
              <w:lang w:eastAsia="en-US"/>
            </w:rPr>
            <mc:AlternateContent>
              <mc:Choice Requires="wpg">
                <w:drawing>
                  <wp:anchor distT="0" distB="0" distL="114300" distR="114300" simplePos="0" relativeHeight="251670528" behindDoc="0" locked="0" layoutInCell="1" hidden="0" allowOverlap="1" wp14:anchorId="5146A833" wp14:editId="1EAF80C0">
                    <wp:simplePos x="0" y="0"/>
                    <mc:AlternateContent>
                      <mc:Choice Requires="wp14">
                        <wp:positionH relativeFrom="margin">
                          <wp14:pctPosHOffset>77000</wp14:pctPosHOffset>
                        </wp:positionH>
                      </mc:Choice>
                      <mc:Fallback>
                        <wp:positionH relativeFrom="page">
                          <wp:posOffset>5758180</wp:posOffset>
                        </wp:positionH>
                      </mc:Fallback>
                    </mc:AlternateContent>
                    <wp:positionV relativeFrom="bottomMargin">
                      <wp:posOffset>9144000</wp:posOffset>
                    </wp:positionV>
                    <wp:extent cx="548640" cy="548640"/>
                    <wp:effectExtent l="6764655" t="9332595" r="6764655" b="9332595"/>
                    <wp:wrapNone/>
                    <wp:docPr id="1094" name="shape1077"/>
                    <wp:cNvGraphicFramePr/>
                    <a:graphic xmlns:a="http://schemas.openxmlformats.org/drawingml/2006/main">
                      <a:graphicData uri="http://schemas.microsoft.com/office/word/2010/wordprocessingGroup">
                        <wpg:wgp>
                          <wpg:cNvGrpSpPr/>
                          <wpg:grpSpPr>
                            <a:xfrm>
                              <a:off x="0" y="0"/>
                              <a:ext cx="548640" cy="548640"/>
                              <a:chOff x="10653" y="14697"/>
                              <a:chExt cx="864" cy="864"/>
                            </a:xfrm>
                          </wpg:grpSpPr>
                          <wps:wsp>
                            <wps:cNvPr id="1095" name="child 1"/>
                            <wps:cNvSpPr>
                              <a:spLocks/>
                            </wps:cNvSpPr>
                            <wps:spPr>
                              <a:xfrm flipH="1">
                                <a:off x="10860" y="14898"/>
                                <a:ext cx="297" cy="303"/>
                              </a:xfrm>
                              <a:prstGeom prst="ellipse">
                                <a:avLst/>
                              </a:prstGeom>
                              <a:solidFill>
                                <a:srgbClr val="FE8637"/>
                              </a:solidFill>
                              <a:ln w="38100" cmpd="dbl">
                                <a:solidFill>
                                  <a:srgbClr val="FE8637"/>
                                </a:solidFill>
                              </a:ln>
                            </wps:spPr>
                            <wps:bodyPr rot="0" vert="horz" wrap="square" lIns="91440" tIns="45720" rIns="91440" bIns="45720" anchor="t" upright="1">
                              <a:noAutofit/>
                            </wps:bodyPr>
                          </wps:wsp>
                          <wps:wsp>
                            <wps:cNvPr id="1096" name="child 2"/>
                            <wps:cNvSpPr>
                              <a:spLocks/>
                            </wps:cNvSpPr>
                            <wps:spPr>
                              <a:xfrm>
                                <a:off x="10653" y="14697"/>
                                <a:ext cx="864" cy="864"/>
                              </a:xfrm>
                              <a:prstGeom prst="rect">
                                <a:avLst/>
                              </a:prstGeom>
                              <a:noFill/>
                              <a:ln>
                                <a:noFill/>
                              </a:ln>
                            </wps:spPr>
                            <wps:bodyPr rot="0" vert="horz" wrap="square" lIns="91440" tIns="45720" rIns="91440" bIns="45720" anchor="t" upright="1">
                              <a:noAutofit/>
                            </wps:bodyPr>
                          </wps:wsp>
                        </wpg:wgp>
                      </a:graphicData>
                    </a:graphic>
                  </wp:anchor>
                </w:drawing>
              </mc:Choice>
              <mc:Fallback>
                <w:pict>
                  <v:group w14:anchorId="75C2DDA2" id="shape1077" o:spid="_x0000_s1026" style="position:absolute;margin-left:0;margin-top:10in;width:43.2pt;height:43.2pt;z-index:251670528;mso-left-percent:770;mso-position-horizontal-relative:margin;mso-position-vertical-relative:bottom-margin-area;mso-left-percent:770"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AoDbCTigIAAO4GAAAOAAAAAAAAAAAAAAAAAC4CAABkcnMvZTJvRG9jLnhtbFBLAQItABQABgAI&#10;AAAAIQCQ/EnS3AAAAAkBAAAPAAAAAAAAAAAAAAAAAOQEAABkcnMvZG93bnJldi54bWxQSwUGAAAA&#10;AAQABADzAAAA7QUAAAAA&#10;">
                    <v:oval id="child 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" fillcolor="#fe8637" strokecolor="#fe8637" strokeweight="3pt">
                      <v:stroke linestyle="thinThin"/>
                      <v:path arrowok="t"/>
                    </v:oval>
                    <v:rect id="child 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" filled="f" stroked="f"/>
                    <w10:wrap anchorx="margin" anchory="margin"/>
                  </v:group>
                </w:pict>
              </mc:Fallback>
            </mc:AlternateContent>
          </w:r>
          <w:r w:rsidRPr="00624126">
            <w:rPr>
              <w:rFonts w:ascii="Calibri" w:eastAsia="Calibri" w:hAnsi="Calibri" w:cs="Calibri"/>
              <w:smallCaps/>
              <w:noProof/>
              <w:color w:val="5B9BD5"/>
              <w:spacing w:val="10"/>
              <w:sz w:val="44"/>
              <w:szCs w:val="44"/>
              <w:lang w:eastAsia="en-US"/>
            </w:rPr>
            <mc:AlternateContent>
              <mc:Choice Requires="wpg">
                <w:drawing>
                  <wp:anchor distT="0" distB="0" distL="114300" distR="114300" simplePos="0" relativeHeight="251672576" behindDoc="0" locked="0" layoutInCell="1" hidden="0" allowOverlap="1" wp14:anchorId="4DEAFF85" wp14:editId="4B596CE1">
                    <wp:simplePos x="0" y="0"/>
                    <mc:AlternateContent>
                      <mc:Choice Requires="wp14">
                        <wp:positionH relativeFrom="margin">
                          <wp14:pctPosHOffset>77000</wp14:pctPosHOffset>
                        </wp:positionH>
                      </mc:Choice>
                      <mc:Fallback>
                        <wp:positionH relativeFrom="page">
                          <wp:posOffset>5758180</wp:posOffset>
                        </wp:positionH>
                      </mc:Fallback>
                    </mc:AlternateContent>
                    <wp:positionV relativeFrom="bottomMargin">
                      <wp:posOffset>9144000</wp:posOffset>
                    </wp:positionV>
                    <wp:extent cx="548640" cy="548640"/>
                    <wp:effectExtent l="6764655" t="9332595" r="6764655" b="9332595"/>
                    <wp:wrapNone/>
                    <wp:docPr id="1097" name="shape1080"/>
                    <wp:cNvGraphicFramePr/>
                    <a:graphic xmlns:a="http://schemas.openxmlformats.org/drawingml/2006/main">
                      <a:graphicData uri="http://schemas.microsoft.com/office/word/2010/wordprocessingGroup">
                        <wpg:wgp>
                          <wpg:cNvGrpSpPr/>
                          <wpg:grpSpPr>
                            <a:xfrm>
                              <a:off x="0" y="0"/>
                              <a:ext cx="548640" cy="548640"/>
                              <a:chOff x="10653" y="14697"/>
                              <a:chExt cx="864" cy="864"/>
                            </a:xfrm>
                          </wpg:grpSpPr>
                          <wps:wsp>
                            <wps:cNvPr id="1098" name="child 1"/>
                            <wps:cNvSpPr>
                              <a:spLocks/>
                            </wps:cNvSpPr>
                            <wps:spPr>
                              <a:xfrm flipH="1">
                                <a:off x="10860" y="14898"/>
                                <a:ext cx="297" cy="303"/>
                              </a:xfrm>
                              <a:prstGeom prst="ellipse">
                                <a:avLst/>
                              </a:prstGeom>
                              <a:solidFill>
                                <a:srgbClr val="FE8637"/>
                              </a:solidFill>
                              <a:ln w="38100" cmpd="dbl">
                                <a:solidFill>
                                  <a:srgbClr val="FE8637"/>
                                </a:solidFill>
                              </a:ln>
                            </wps:spPr>
                            <wps:bodyPr rot="0" vert="horz" wrap="square" lIns="91440" tIns="45720" rIns="91440" bIns="45720" anchor="t" upright="1">
                              <a:noAutofit/>
                            </wps:bodyPr>
                          </wps:wsp>
                          <wps:wsp>
                            <wps:cNvPr id="1099" name="child 2"/>
                            <wps:cNvSpPr>
                              <a:spLocks/>
                            </wps:cNvSpPr>
                            <wps:spPr>
                              <a:xfrm>
                                <a:off x="10653" y="14697"/>
                                <a:ext cx="864" cy="864"/>
                              </a:xfrm>
                              <a:prstGeom prst="rect">
                                <a:avLst/>
                              </a:prstGeom>
                              <a:noFill/>
                              <a:ln>
                                <a:noFill/>
                              </a:ln>
                            </wps:spPr>
                            <wps:bodyPr rot="0" vert="horz" wrap="square" lIns="91440" tIns="45720" rIns="91440" bIns="45720" anchor="t" upright="1">
                              <a:noAutofit/>
                            </wps:bodyPr>
                          </wps:wsp>
                        </wpg:wgp>
                      </a:graphicData>
                    </a:graphic>
                  </wp:anchor>
                </w:drawing>
              </mc:Choice>
              <mc:Fallback>
                <w:pict>
                  <v:group w14:anchorId="49BAD0E6" id="shape1080" o:spid="_x0000_s1026" style="position:absolute;margin-left:0;margin-top:10in;width:43.2pt;height:43.2pt;z-index:251672576;mso-left-percent:770;mso-position-horizontal-relative:margin;mso-position-vertical-relative:bottom-margin-area;mso-left-percent:770"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BXzChEigIAAO4GAAAOAAAAAAAAAAAAAAAAAC4CAABkcnMvZTJvRG9jLnhtbFBLAQItABQABgAI&#10;AAAAIQCQ/EnS3AAAAAkBAAAPAAAAAAAAAAAAAAAAAOQEAABkcnMvZG93bnJldi54bWxQSwUGAAAA&#10;AAQABADzAAAA7QUAAAAA&#10;">
                    <v:oval id="child 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" fillcolor="#fe8637" strokecolor="#fe8637" strokeweight="3pt">
                      <v:stroke linestyle="thinThin"/>
                      <v:path arrowok="t"/>
                    </v:oval>
                    <v:rect id="child 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" filled="f" stroked="f"/>
                    <w10:wrap anchorx="margin" anchory="margin"/>
                  </v:group>
                </w:pict>
              </mc:Fallback>
            </mc:AlternateContent>
          </w:r>
          <w:r w:rsidRPr="00624126">
            <w:rPr>
              <w:rFonts w:ascii="Calibri" w:eastAsia="Calibri" w:hAnsi="Calibri" w:cs="Calibri"/>
              <w:smallCaps/>
              <w:noProof/>
              <w:color w:val="5B9BD5"/>
              <w:spacing w:val="10"/>
              <w:sz w:val="44"/>
              <w:szCs w:val="44"/>
              <w:lang w:eastAsia="en-US"/>
            </w:rPr>
            <mc:AlternateContent>
              <mc:Choice Requires="wpg">
                <w:drawing>
                  <wp:anchor distT="0" distB="0" distL="114300" distR="114300" simplePos="0" relativeHeight="251674624" behindDoc="0" locked="0" layoutInCell="1" hidden="0" allowOverlap="1" wp14:anchorId="40B2CC3B" wp14:editId="2651BAC4">
                    <wp:simplePos x="0" y="0"/>
                    <mc:AlternateContent>
                      <mc:Choice Requires="wp14">
                        <wp:positionH relativeFrom="margin">
                          <wp14:pctPosHOffset>77000</wp14:pctPosHOffset>
                        </wp:positionH>
                      </mc:Choice>
                      <mc:Fallback>
                        <wp:positionH relativeFrom="page">
                          <wp:posOffset>5758180</wp:posOffset>
                        </wp:positionH>
                      </mc:Fallback>
                    </mc:AlternateContent>
                    <wp:positionV relativeFrom="bottomMargin">
                      <wp:posOffset>9144000</wp:posOffset>
                    </wp:positionV>
                    <wp:extent cx="548640" cy="548640"/>
                    <wp:effectExtent l="6764655" t="9332595" r="6764655" b="9332595"/>
                    <wp:wrapNone/>
                    <wp:docPr id="1100" name="shape1083"/>
                    <wp:cNvGraphicFramePr/>
                    <a:graphic xmlns:a="http://schemas.openxmlformats.org/drawingml/2006/main">
                      <a:graphicData uri="http://schemas.microsoft.com/office/word/2010/wordprocessingGroup">
                        <wpg:wgp>
                          <wpg:cNvGrpSpPr/>
                          <wpg:grpSpPr>
                            <a:xfrm>
                              <a:off x="0" y="0"/>
                              <a:ext cx="548640" cy="548640"/>
                              <a:chOff x="10653" y="14697"/>
                              <a:chExt cx="864" cy="864"/>
                            </a:xfrm>
                          </wpg:grpSpPr>
                          <wps:wsp>
                            <wps:cNvPr id="1101" name="child 1"/>
                            <wps:cNvSpPr>
                              <a:spLocks/>
                            </wps:cNvSpPr>
                            <wps:spPr>
                              <a:xfrm flipH="1">
                                <a:off x="10860" y="14898"/>
                                <a:ext cx="297" cy="303"/>
                              </a:xfrm>
                              <a:prstGeom prst="ellipse">
                                <a:avLst/>
                              </a:prstGeom>
                              <a:solidFill>
                                <a:srgbClr val="FE8637"/>
                              </a:solidFill>
                              <a:ln w="38100" cmpd="dbl">
                                <a:solidFill>
                                  <a:srgbClr val="FE8637"/>
                                </a:solidFill>
                              </a:ln>
                            </wps:spPr>
                            <wps:bodyPr rot="0" vert="horz" wrap="square" lIns="91440" tIns="45720" rIns="91440" bIns="45720" anchor="t" upright="1">
                              <a:noAutofit/>
                            </wps:bodyPr>
                          </wps:wsp>
                          <wps:wsp>
                            <wps:cNvPr id="1102" name="child 2"/>
                            <wps:cNvSpPr>
                              <a:spLocks/>
                            </wps:cNvSpPr>
                            <wps:spPr>
                              <a:xfrm>
                                <a:off x="10653" y="14697"/>
                                <a:ext cx="864" cy="864"/>
                              </a:xfrm>
                              <a:prstGeom prst="rect">
                                <a:avLst/>
                              </a:prstGeom>
                              <a:noFill/>
                              <a:ln>
                                <a:noFill/>
                              </a:ln>
                            </wps:spPr>
                            <wps:bodyPr rot="0" vert="horz" wrap="square" lIns="91440" tIns="45720" rIns="91440" bIns="45720" anchor="t" upright="1">
                              <a:noAutofit/>
                            </wps:bodyPr>
                          </wps:wsp>
                        </wpg:wgp>
                      </a:graphicData>
                    </a:graphic>
                  </wp:anchor>
                </w:drawing>
              </mc:Choice>
              <mc:Fallback>
                <w:pict>
                  <v:group w14:anchorId="7235D8F3" id="shape1083" o:spid="_x0000_s1026" style="position:absolute;margin-left:0;margin-top:10in;width:43.2pt;height:43.2pt;z-index:251674624;mso-left-percent:770;mso-position-horizontal-relative:margin;mso-position-vertical-relative:bottom-margin-area;mso-left-percent:770"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DMe9ZYsCAADuBgAADgAAAAAAAAAAAAAAAAAuAgAAZHJzL2Uyb0RvYy54bWxQSwECLQAUAAYA&#10;CAAAACEAkPxJ0twAAAAJAQAADwAAAAAAAAAAAAAAAADlBAAAZHJzL2Rvd25yZXYueG1sUEsFBgAA&#10;AAAEAAQA8wAAAO4FAAAAAA==&#10;">
                    <v:oval id="child 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" fillcolor="#fe8637" strokecolor="#fe8637" strokeweight="3pt">
                      <v:stroke linestyle="thinThin"/>
                      <v:path arrowok="t"/>
                    </v:oval>
                    <v:rect id="child 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" filled="f" stroked="f"/>
                    <w10:wrap anchorx="margin" anchory="margin"/>
                  </v:group>
                </w:pict>
              </mc:Fallback>
            </mc:AlternateContent>
          </w:r>
          <w:r w:rsidRPr="00624126">
            <w:rPr>
              <w:rFonts w:ascii="Calibri" w:eastAsia="Calibri" w:hAnsi="Calibri" w:cs="Calibri"/>
              <w:smallCaps/>
              <w:noProof/>
              <w:color w:val="5B9BD5"/>
              <w:spacing w:val="10"/>
              <w:sz w:val="44"/>
              <w:szCs w:val="44"/>
              <w:lang w:eastAsia="en-US"/>
            </w:rPr>
            <mc:AlternateContent>
              <mc:Choice Requires="wpg">
                <w:drawing>
                  <wp:anchor distT="0" distB="0" distL="114300" distR="114300" simplePos="0" relativeHeight="251676672" behindDoc="0" locked="0" layoutInCell="1" hidden="0" allowOverlap="1" wp14:anchorId="2876C80C" wp14:editId="6FE53BD7">
                    <wp:simplePos x="0" y="0"/>
                    <mc:AlternateContent>
                      <mc:Choice Requires="wp14">
                        <wp:positionH relativeFrom="margin">
                          <wp14:pctPosHOffset>77000</wp14:pctPosHOffset>
                        </wp:positionH>
                      </mc:Choice>
                      <mc:Fallback>
                        <wp:positionH relativeFrom="page">
                          <wp:posOffset>5758180</wp:posOffset>
                        </wp:positionH>
                      </mc:Fallback>
                    </mc:AlternateContent>
                    <wp:positionV relativeFrom="bottomMargin">
                      <wp:posOffset>9144000</wp:posOffset>
                    </wp:positionV>
                    <wp:extent cx="548640" cy="548640"/>
                    <wp:effectExtent l="6764655" t="9332595" r="6764655" b="9332595"/>
                    <wp:wrapNone/>
                    <wp:docPr id="1103" name="shape1086"/>
                    <wp:cNvGraphicFramePr/>
                    <a:graphic xmlns:a="http://schemas.openxmlformats.org/drawingml/2006/main">
                      <a:graphicData uri="http://schemas.microsoft.com/office/word/2010/wordprocessingGroup">
                        <wpg:wgp>
                          <wpg:cNvGrpSpPr/>
                          <wpg:grpSpPr>
                            <a:xfrm>
                              <a:off x="0" y="0"/>
                              <a:ext cx="548640" cy="548640"/>
                              <a:chOff x="10653" y="14697"/>
                              <a:chExt cx="864" cy="864"/>
                            </a:xfrm>
                          </wpg:grpSpPr>
                          <wps:wsp>
                            <wps:cNvPr id="1104" name="child 1"/>
                            <wps:cNvSpPr>
                              <a:spLocks/>
                            </wps:cNvSpPr>
                            <wps:spPr>
                              <a:xfrm flipH="1">
                                <a:off x="10860" y="14898"/>
                                <a:ext cx="297" cy="303"/>
                              </a:xfrm>
                              <a:prstGeom prst="ellipse">
                                <a:avLst/>
                              </a:prstGeom>
                              <a:solidFill>
                                <a:srgbClr val="FE8637"/>
                              </a:solidFill>
                              <a:ln w="38100" cmpd="dbl">
                                <a:solidFill>
                                  <a:srgbClr val="FE8637"/>
                                </a:solidFill>
                              </a:ln>
                            </wps:spPr>
                            <wps:bodyPr rot="0" vert="horz" wrap="square" lIns="91440" tIns="45720" rIns="91440" bIns="45720" anchor="t" upright="1">
                              <a:noAutofit/>
                            </wps:bodyPr>
                          </wps:wsp>
                          <wps:wsp>
                            <wps:cNvPr id="1105" name="child 2"/>
                            <wps:cNvSpPr>
                              <a:spLocks/>
                            </wps:cNvSpPr>
                            <wps:spPr>
                              <a:xfrm>
                                <a:off x="10653" y="14697"/>
                                <a:ext cx="864" cy="864"/>
                              </a:xfrm>
                              <a:prstGeom prst="rect">
                                <a:avLst/>
                              </a:prstGeom>
                              <a:noFill/>
                              <a:ln>
                                <a:noFill/>
                              </a:ln>
                            </wps:spPr>
                            <wps:bodyPr rot="0" vert="horz" wrap="square" lIns="91440" tIns="45720" rIns="91440" bIns="45720" anchor="t" upright="1">
                              <a:noAutofit/>
                            </wps:bodyPr>
                          </wps:wsp>
                        </wpg:wgp>
                      </a:graphicData>
                    </a:graphic>
                  </wp:anchor>
                </w:drawing>
              </mc:Choice>
              <mc:Fallback>
                <w:pict>
                  <v:group w14:anchorId="231C46D2" id="shape1086" o:spid="_x0000_s1026" style="position:absolute;margin-left:0;margin-top:10in;width:43.2pt;height:43.2pt;z-index:251676672;mso-left-percent:770;mso-position-horizontal-relative:margin;mso-position-vertical-relative:bottom-margin-area;mso-left-percent:770"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OFLlIYsCAADuBgAADgAAAAAAAAAAAAAAAAAuAgAAZHJzL2Uyb0RvYy54bWxQSwECLQAUAAYA&#10;CAAAACEAkPxJ0twAAAAJAQAADwAAAAAAAAAAAAAAAADlBAAAZHJzL2Rvd25yZXYueG1sUEsFBgAA&#10;AAAEAAQA8wAAAO4FAAAAAA==&#10;">
                    <v:oval id="child 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" fillcolor="#fe8637" strokecolor="#fe8637" strokeweight="3pt">
                      <v:stroke linestyle="thinThin"/>
                      <v:path arrowok="t"/>
                    </v:oval>
                    <v:rect id="child 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" filled="f" stroked="f"/>
                    <w10:wrap anchorx="margin" anchory="margin"/>
                  </v:group>
                </w:pict>
              </mc:Fallback>
            </mc:AlternateContent>
          </w:r>
          <w:r w:rsidRPr="00624126">
            <w:rPr>
              <w:rFonts w:ascii="Calibri" w:eastAsia="Calibri" w:hAnsi="Calibri" w:cs="Calibri"/>
              <w:smallCaps/>
              <w:color w:val="5B9BD5"/>
              <w:spacing w:val="10"/>
              <w:sz w:val="44"/>
              <w:szCs w:val="44"/>
            </w:rPr>
            <w:t>Nueta Hidatsa Sahnish College</w:t>
          </w:r>
        </w:p>
        <w:p w14:paraId="204A86F9" w14:textId="77777777" w:rsidR="00624126" w:rsidRPr="00624126" w:rsidRDefault="00624126" w:rsidP="00624126">
          <w:pPr>
            <w:spacing w:before="0" w:after="200" w:line="276" w:lineRule="auto"/>
            <w:jc w:val="center"/>
            <w:rPr>
              <w:rFonts w:ascii="Calibri" w:eastAsia="Calibri" w:hAnsi="Calibri" w:cs="Calibri"/>
              <w:smallCaps/>
              <w:color w:val="5B9BD5"/>
              <w:spacing w:val="10"/>
              <w:sz w:val="44"/>
              <w:szCs w:val="44"/>
            </w:rPr>
          </w:pPr>
        </w:p>
        <w:p w14:paraId="6628CE8E" w14:textId="09E8EF25" w:rsidR="00624126" w:rsidRPr="00624126" w:rsidRDefault="00624126" w:rsidP="00624126">
          <w:pPr>
            <w:spacing w:before="0" w:after="200" w:line="276" w:lineRule="auto"/>
            <w:jc w:val="center"/>
            <w:rPr>
              <w:rFonts w:ascii="Calibri" w:eastAsia="Calibri" w:hAnsi="Calibri" w:cs="Calibri"/>
              <w:smallCaps/>
              <w:color w:val="5B9BD5"/>
              <w:spacing w:val="10"/>
              <w:sz w:val="44"/>
              <w:szCs w:val="44"/>
            </w:rPr>
          </w:pPr>
          <w:r w:rsidRPr="00624126">
            <w:rPr>
              <w:rFonts w:ascii="Calibri" w:eastAsia="Calibri" w:hAnsi="Calibri" w:cs="Calibri"/>
              <w:smallCaps/>
              <w:color w:val="5B9BD5"/>
              <w:spacing w:val="10"/>
              <w:sz w:val="44"/>
              <w:szCs w:val="44"/>
            </w:rPr>
            <w:t>Annual Security Safety Report 202</w:t>
          </w:r>
          <w:r w:rsidR="00D14916">
            <w:rPr>
              <w:rFonts w:ascii="Calibri" w:eastAsia="Calibri" w:hAnsi="Calibri" w:cs="Calibri"/>
              <w:smallCaps/>
              <w:color w:val="5B9BD5"/>
              <w:spacing w:val="10"/>
              <w:sz w:val="44"/>
              <w:szCs w:val="44"/>
            </w:rPr>
            <w:t>5</w:t>
          </w:r>
        </w:p>
        <w:p w14:paraId="4688FE18" w14:textId="1D006A73" w:rsidR="00624126" w:rsidRPr="00624126" w:rsidRDefault="00624126" w:rsidP="00624126">
          <w:pPr>
            <w:spacing w:before="0" w:after="200" w:line="276" w:lineRule="auto"/>
            <w:jc w:val="center"/>
            <w:rPr>
              <w:rFonts w:ascii="Times New Roman" w:eastAsia="Calibri" w:hAnsi="Times New Roman" w:cs="Times New Roman"/>
              <w:smallCaps/>
              <w:color w:val="5B9BD5"/>
              <w:spacing w:val="10"/>
              <w:sz w:val="28"/>
              <w:szCs w:val="28"/>
            </w:rPr>
          </w:pPr>
          <w:r w:rsidRPr="00624126">
            <w:rPr>
              <w:rFonts w:ascii="Calibri" w:eastAsia="Calibri" w:hAnsi="Calibri" w:cs="Calibri"/>
              <w:smallCaps/>
              <w:color w:val="5B9BD5"/>
              <w:spacing w:val="10"/>
              <w:sz w:val="28"/>
              <w:szCs w:val="28"/>
            </w:rPr>
            <w:t>Includes crime Statistics for the calendar years 20</w:t>
          </w:r>
          <w:r w:rsidR="00F61916">
            <w:rPr>
              <w:rFonts w:ascii="Calibri" w:eastAsia="Calibri" w:hAnsi="Calibri" w:cs="Calibri"/>
              <w:smallCaps/>
              <w:color w:val="5B9BD5"/>
              <w:spacing w:val="10"/>
              <w:sz w:val="28"/>
              <w:szCs w:val="28"/>
            </w:rPr>
            <w:t>2</w:t>
          </w:r>
          <w:r w:rsidR="00D14916">
            <w:rPr>
              <w:rFonts w:ascii="Calibri" w:eastAsia="Calibri" w:hAnsi="Calibri" w:cs="Calibri"/>
              <w:smallCaps/>
              <w:color w:val="5B9BD5"/>
              <w:spacing w:val="10"/>
              <w:sz w:val="28"/>
              <w:szCs w:val="28"/>
            </w:rPr>
            <w:t>2</w:t>
          </w:r>
          <w:r w:rsidRPr="00624126">
            <w:rPr>
              <w:rFonts w:ascii="Calibri" w:eastAsia="Calibri" w:hAnsi="Calibri" w:cs="Calibri"/>
              <w:smallCaps/>
              <w:color w:val="5B9BD5"/>
              <w:spacing w:val="10"/>
              <w:sz w:val="28"/>
              <w:szCs w:val="28"/>
            </w:rPr>
            <w:t>, 202</w:t>
          </w:r>
          <w:r w:rsidR="00D14916">
            <w:rPr>
              <w:rFonts w:ascii="Calibri" w:eastAsia="Calibri" w:hAnsi="Calibri" w:cs="Calibri"/>
              <w:smallCaps/>
              <w:color w:val="5B9BD5"/>
              <w:spacing w:val="10"/>
              <w:sz w:val="28"/>
              <w:szCs w:val="28"/>
            </w:rPr>
            <w:t>3</w:t>
          </w:r>
          <w:r w:rsidRPr="00624126">
            <w:rPr>
              <w:rFonts w:ascii="Calibri" w:eastAsia="Calibri" w:hAnsi="Calibri" w:cs="Calibri"/>
              <w:smallCaps/>
              <w:color w:val="5B9BD5"/>
              <w:spacing w:val="10"/>
              <w:sz w:val="28"/>
              <w:szCs w:val="28"/>
            </w:rPr>
            <w:t>, and 202</w:t>
          </w:r>
          <w:r w:rsidR="00D14916">
            <w:rPr>
              <w:rFonts w:ascii="Calibri" w:eastAsia="Calibri" w:hAnsi="Calibri" w:cs="Calibri"/>
              <w:smallCaps/>
              <w:color w:val="5B9BD5"/>
              <w:spacing w:val="10"/>
              <w:sz w:val="28"/>
              <w:szCs w:val="28"/>
            </w:rPr>
            <w:t>4</w:t>
          </w:r>
        </w:p>
        <w:p w14:paraId="1088B6C3" w14:textId="77777777" w:rsidR="00624126" w:rsidRPr="00624126" w:rsidRDefault="00624126" w:rsidP="00624126">
          <w:pPr>
            <w:spacing w:before="0" w:after="0" w:line="240" w:lineRule="auto"/>
            <w:rPr>
              <w:rFonts w:ascii="Times New Roman" w:eastAsia="Calibri" w:hAnsi="Times New Roman" w:cs="Times New Roman"/>
              <w:color w:val="auto"/>
              <w:lang w:eastAsia="en-US"/>
            </w:rPr>
          </w:pPr>
        </w:p>
        <w:p w14:paraId="67D81AB9" w14:textId="77777777" w:rsidR="00624126" w:rsidRPr="00624126" w:rsidRDefault="00624126" w:rsidP="00624126">
          <w:pPr>
            <w:spacing w:before="0" w:after="0" w:line="240" w:lineRule="auto"/>
            <w:rPr>
              <w:rFonts w:ascii="Times New Roman" w:eastAsia="Calibri" w:hAnsi="Times New Roman" w:cs="Times New Roman"/>
              <w:color w:val="auto"/>
              <w:lang w:eastAsia="en-US"/>
            </w:rPr>
          </w:pPr>
        </w:p>
        <w:p w14:paraId="68861AC6" w14:textId="77777777" w:rsidR="00624126" w:rsidRPr="00624126" w:rsidRDefault="00624126" w:rsidP="00624126">
          <w:pPr>
            <w:spacing w:before="0" w:after="0" w:line="240" w:lineRule="auto"/>
            <w:rPr>
              <w:rFonts w:ascii="Times New Roman" w:eastAsia="Calibri" w:hAnsi="Times New Roman" w:cs="Times New Roman"/>
              <w:color w:val="auto"/>
              <w:lang w:eastAsia="en-US"/>
            </w:rPr>
          </w:pPr>
        </w:p>
        <w:p w14:paraId="7BBE0986" w14:textId="77777777" w:rsidR="00624126" w:rsidRPr="00624126" w:rsidRDefault="00624126" w:rsidP="00624126">
          <w:pPr>
            <w:spacing w:before="0" w:after="0" w:line="240" w:lineRule="auto"/>
            <w:rPr>
              <w:rFonts w:ascii="Times New Roman" w:eastAsia="Calibri" w:hAnsi="Times New Roman" w:cs="Times New Roman"/>
              <w:color w:val="auto"/>
              <w:lang w:eastAsia="en-US"/>
            </w:rPr>
          </w:pPr>
          <w:r w:rsidRPr="00624126">
            <w:rPr>
              <w:rFonts w:ascii="Times New Roman" w:eastAsia="Calibri" w:hAnsi="Times New Roman" w:cs="Times New Roman"/>
              <w:color w:val="auto"/>
              <w:lang w:eastAsia="en-US"/>
            </w:rPr>
            <w:t xml:space="preserve"> </w:t>
          </w:r>
        </w:p>
        <w:p w14:paraId="44805397" w14:textId="77777777" w:rsidR="00624126" w:rsidRPr="00624126" w:rsidRDefault="00624126" w:rsidP="00624126">
          <w:pPr>
            <w:spacing w:before="0" w:after="0" w:line="240" w:lineRule="auto"/>
            <w:rPr>
              <w:rFonts w:ascii="Times New Roman" w:eastAsia="Calibri" w:hAnsi="Times New Roman" w:cs="Times New Roman"/>
              <w:color w:val="auto"/>
              <w:lang w:eastAsia="en-US"/>
            </w:rPr>
          </w:pPr>
        </w:p>
        <w:p w14:paraId="0A138FB7" w14:textId="77777777" w:rsidR="00624126" w:rsidRPr="00624126" w:rsidRDefault="00624126" w:rsidP="00624126">
          <w:pPr>
            <w:spacing w:before="0" w:after="0" w:line="240" w:lineRule="auto"/>
            <w:rPr>
              <w:rFonts w:ascii="Times New Roman" w:eastAsia="Calibri" w:hAnsi="Times New Roman" w:cs="Times New Roman"/>
              <w:color w:val="auto"/>
              <w:lang w:eastAsia="en-US"/>
            </w:rPr>
          </w:pPr>
        </w:p>
        <w:p w14:paraId="2B7D1A60" w14:textId="77777777" w:rsidR="00624126" w:rsidRPr="00624126" w:rsidRDefault="00624126" w:rsidP="00624126">
          <w:pPr>
            <w:spacing w:before="0" w:after="0" w:line="240" w:lineRule="auto"/>
            <w:rPr>
              <w:rFonts w:ascii="Times New Roman" w:eastAsia="Calibri" w:hAnsi="Times New Roman" w:cs="Times New Roman"/>
              <w:color w:val="auto"/>
              <w:lang w:eastAsia="en-US"/>
            </w:rPr>
          </w:pPr>
        </w:p>
        <w:p w14:paraId="7969A5DF" w14:textId="77777777" w:rsidR="00624126" w:rsidRPr="00624126" w:rsidRDefault="00624126" w:rsidP="00624126">
          <w:pPr>
            <w:spacing w:before="0" w:after="0" w:line="240" w:lineRule="auto"/>
            <w:rPr>
              <w:rFonts w:ascii="Times New Roman" w:eastAsia="Calibri" w:hAnsi="Times New Roman" w:cs="Times New Roman"/>
              <w:color w:val="auto"/>
              <w:lang w:eastAsia="en-US"/>
            </w:rPr>
          </w:pPr>
        </w:p>
        <w:p w14:paraId="650D4369" w14:textId="77777777" w:rsidR="00624126" w:rsidRPr="00624126" w:rsidRDefault="00624126" w:rsidP="00624126">
          <w:pPr>
            <w:spacing w:before="0" w:after="0" w:line="240" w:lineRule="auto"/>
            <w:rPr>
              <w:rFonts w:ascii="Times New Roman" w:eastAsia="Calibri" w:hAnsi="Times New Roman" w:cs="Times New Roman"/>
              <w:color w:val="auto"/>
              <w:lang w:eastAsia="en-US"/>
            </w:rPr>
          </w:pPr>
        </w:p>
        <w:p w14:paraId="48E00675" w14:textId="77777777" w:rsidR="00624126" w:rsidRPr="00624126" w:rsidRDefault="00624126" w:rsidP="00624126">
          <w:pPr>
            <w:spacing w:before="0" w:after="0" w:line="240" w:lineRule="auto"/>
            <w:rPr>
              <w:rFonts w:ascii="Times New Roman" w:eastAsia="Calibri" w:hAnsi="Times New Roman" w:cs="Times New Roman"/>
              <w:color w:val="auto"/>
              <w:lang w:eastAsia="en-US"/>
            </w:rPr>
          </w:pPr>
        </w:p>
        <w:p w14:paraId="5564A53F" w14:textId="77777777" w:rsidR="00624126" w:rsidRPr="00624126" w:rsidRDefault="00624126" w:rsidP="00624126">
          <w:pPr>
            <w:spacing w:before="0" w:after="0" w:line="240" w:lineRule="auto"/>
            <w:rPr>
              <w:rFonts w:ascii="Times New Roman" w:eastAsia="Calibri" w:hAnsi="Times New Roman" w:cs="Times New Roman"/>
              <w:color w:val="auto"/>
              <w:lang w:eastAsia="en-US"/>
            </w:rPr>
          </w:pPr>
        </w:p>
        <w:p w14:paraId="11244D90" w14:textId="77777777" w:rsidR="00624126" w:rsidRPr="00624126" w:rsidRDefault="00624126" w:rsidP="00624126">
          <w:pPr>
            <w:spacing w:before="0" w:after="0" w:line="240" w:lineRule="auto"/>
            <w:rPr>
              <w:rFonts w:ascii="Times New Roman" w:eastAsia="Calibri" w:hAnsi="Times New Roman" w:cs="Times New Roman"/>
              <w:color w:val="auto"/>
              <w:lang w:eastAsia="en-US"/>
            </w:rPr>
          </w:pPr>
        </w:p>
        <w:p w14:paraId="38C04177" w14:textId="77777777" w:rsidR="00624126" w:rsidRPr="00624126" w:rsidRDefault="00624126" w:rsidP="00624126">
          <w:pPr>
            <w:spacing w:before="0" w:after="0" w:line="240" w:lineRule="auto"/>
            <w:rPr>
              <w:rFonts w:ascii="Times New Roman" w:eastAsia="Calibri" w:hAnsi="Times New Roman" w:cs="Times New Roman"/>
              <w:color w:val="auto"/>
              <w:lang w:eastAsia="en-US"/>
            </w:rPr>
          </w:pPr>
        </w:p>
        <w:p w14:paraId="429C35E4" w14:textId="77777777" w:rsidR="00624126" w:rsidRPr="00624126" w:rsidRDefault="00624126" w:rsidP="00624126">
          <w:pPr>
            <w:spacing w:before="0" w:after="0" w:line="240" w:lineRule="auto"/>
            <w:rPr>
              <w:rFonts w:ascii="Times New Roman" w:eastAsia="Calibri" w:hAnsi="Times New Roman" w:cs="Times New Roman"/>
              <w:color w:val="auto"/>
              <w:lang w:eastAsia="en-US"/>
            </w:rPr>
          </w:pPr>
        </w:p>
        <w:p w14:paraId="7DCC467D" w14:textId="77777777" w:rsidR="00624126" w:rsidRPr="00624126" w:rsidRDefault="00624126" w:rsidP="00624126">
          <w:pPr>
            <w:spacing w:before="0" w:after="0" w:line="240" w:lineRule="auto"/>
            <w:rPr>
              <w:rFonts w:ascii="Times New Roman" w:eastAsia="Calibri" w:hAnsi="Times New Roman" w:cs="Times New Roman"/>
              <w:color w:val="auto"/>
              <w:lang w:eastAsia="en-US"/>
            </w:rPr>
          </w:pPr>
        </w:p>
        <w:sdt>
          <w:sdtPr>
            <w:rPr>
              <w:rFonts w:asciiTheme="minorHAnsi" w:eastAsiaTheme="minorHAnsi" w:hAnsiTheme="minorHAnsi" w:cstheme="minorBidi"/>
              <w:caps w:val="0"/>
              <w:color w:val="595959" w:themeColor="text1" w:themeTint="A6"/>
              <w:spacing w:val="0"/>
              <w:sz w:val="24"/>
              <w:szCs w:val="24"/>
            </w:rPr>
            <w:id w:val="727269169"/>
            <w:docPartObj>
              <w:docPartGallery w:val="Table of Contents"/>
              <w:docPartUnique/>
            </w:docPartObj>
          </w:sdtPr>
          <w:sdtEndPr>
            <w:rPr>
              <w:b/>
              <w:bCs/>
              <w:noProof/>
            </w:rPr>
          </w:sdtEndPr>
          <w:sdtContent>
            <w:p w14:paraId="3A064C43" w14:textId="09F1A0A6" w:rsidR="00AA020F" w:rsidRPr="005C199E" w:rsidRDefault="00AA020F">
              <w:pPr>
                <w:pStyle w:val="TOCHeading"/>
                <w:rPr>
                  <w:sz w:val="36"/>
                  <w:szCs w:val="36"/>
                </w:rPr>
              </w:pPr>
              <w:r w:rsidRPr="005C199E">
                <w:rPr>
                  <w:sz w:val="36"/>
                  <w:szCs w:val="36"/>
                </w:rPr>
                <w:t>Table of Contents</w:t>
              </w:r>
            </w:p>
            <w:p w14:paraId="089A33EF" w14:textId="4C39B763" w:rsidR="00B632AC" w:rsidRDefault="00AA020F">
              <w:pPr>
                <w:pStyle w:val="TOC1"/>
                <w:tabs>
                  <w:tab w:val="left" w:pos="720"/>
                  <w:tab w:val="right" w:leader="dot" w:pos="10910"/>
                </w:tabs>
                <w:rPr>
                  <w:rFonts w:eastAsiaTheme="minorEastAsia"/>
                  <w:noProof/>
                  <w:color w:val="auto"/>
                  <w:kern w:val="2"/>
                  <w:lang w:eastAsia="en-US"/>
                  <w14:ligatures w14:val="standardContextual"/>
                </w:rPr>
              </w:pPr>
              <w:r>
                <w:fldChar w:fldCharType="begin"/>
              </w:r>
              <w:r>
                <w:instrText xml:space="preserve"> TOC \o "1-3" \h \z \u </w:instrText>
              </w:r>
              <w:r>
                <w:fldChar w:fldCharType="separate"/>
              </w:r>
              <w:hyperlink w:anchor="_Toc209014355" w:history="1">
                <w:r w:rsidR="00B632AC" w:rsidRPr="006F2931">
                  <w:rPr>
                    <w:rStyle w:val="Hyperlink"/>
                    <w:rFonts w:cstheme="minorHAnsi"/>
                    <w:noProof/>
                  </w:rPr>
                  <w:t xml:space="preserve">1.0 </w:t>
                </w:r>
                <w:r w:rsidR="00B632AC">
                  <w:rPr>
                    <w:rFonts w:eastAsiaTheme="minorEastAsia"/>
                    <w:noProof/>
                    <w:color w:val="auto"/>
                    <w:kern w:val="2"/>
                    <w:lang w:eastAsia="en-US"/>
                    <w14:ligatures w14:val="standardContextual"/>
                  </w:rPr>
                  <w:tab/>
                </w:r>
                <w:r w:rsidR="00B632AC" w:rsidRPr="006F2931">
                  <w:rPr>
                    <w:rStyle w:val="Hyperlink"/>
                    <w:rFonts w:cstheme="minorHAnsi"/>
                    <w:noProof/>
                  </w:rPr>
                  <w:t xml:space="preserve"> Introduction</w:t>
                </w:r>
                <w:r w:rsidR="00B632AC">
                  <w:rPr>
                    <w:noProof/>
                    <w:webHidden/>
                  </w:rPr>
                  <w:tab/>
                </w:r>
                <w:r w:rsidR="00B632AC">
                  <w:rPr>
                    <w:noProof/>
                    <w:webHidden/>
                  </w:rPr>
                  <w:fldChar w:fldCharType="begin"/>
                </w:r>
                <w:r w:rsidR="00B632AC">
                  <w:rPr>
                    <w:noProof/>
                    <w:webHidden/>
                  </w:rPr>
                  <w:instrText xml:space="preserve"> PAGEREF _Toc209014355 \h </w:instrText>
                </w:r>
                <w:r w:rsidR="00B632AC">
                  <w:rPr>
                    <w:noProof/>
                    <w:webHidden/>
                  </w:rPr>
                </w:r>
                <w:r w:rsidR="00B632AC">
                  <w:rPr>
                    <w:noProof/>
                    <w:webHidden/>
                  </w:rPr>
                  <w:fldChar w:fldCharType="separate"/>
                </w:r>
                <w:r w:rsidR="00B632AC">
                  <w:rPr>
                    <w:noProof/>
                    <w:webHidden/>
                  </w:rPr>
                  <w:t>6</w:t>
                </w:r>
                <w:r w:rsidR="00B632AC">
                  <w:rPr>
                    <w:noProof/>
                    <w:webHidden/>
                  </w:rPr>
                  <w:fldChar w:fldCharType="end"/>
                </w:r>
              </w:hyperlink>
            </w:p>
            <w:p w14:paraId="1EC6FEA4" w14:textId="0CC5A7DA" w:rsidR="00B632AC" w:rsidRDefault="00B632AC" w:rsidP="001912B6">
              <w:pPr>
                <w:pStyle w:val="TOC2"/>
                <w:rPr>
                  <w:rFonts w:eastAsiaTheme="minorEastAsia"/>
                  <w:kern w:val="2"/>
                  <w:lang w:eastAsia="en-US"/>
                  <w14:ligatures w14:val="standardContextual"/>
                </w:rPr>
              </w:pPr>
              <w:hyperlink w:anchor="_Toc209014356" w:history="1">
                <w:r w:rsidRPr="006F2931">
                  <w:rPr>
                    <w:rStyle w:val="Hyperlink"/>
                  </w:rPr>
                  <w:t>1.1 Overview of the clery act</w:t>
                </w:r>
                <w:r>
                  <w:rPr>
                    <w:webHidden/>
                  </w:rPr>
                  <w:tab/>
                </w:r>
                <w:r>
                  <w:rPr>
                    <w:webHidden/>
                  </w:rPr>
                  <w:fldChar w:fldCharType="begin"/>
                </w:r>
                <w:r>
                  <w:rPr>
                    <w:webHidden/>
                  </w:rPr>
                  <w:instrText xml:space="preserve"> PAGEREF _Toc209014356 \h </w:instrText>
                </w:r>
                <w:r>
                  <w:rPr>
                    <w:webHidden/>
                  </w:rPr>
                </w:r>
                <w:r>
                  <w:rPr>
                    <w:webHidden/>
                  </w:rPr>
                  <w:fldChar w:fldCharType="separate"/>
                </w:r>
                <w:r>
                  <w:rPr>
                    <w:webHidden/>
                  </w:rPr>
                  <w:t>6</w:t>
                </w:r>
                <w:r>
                  <w:rPr>
                    <w:webHidden/>
                  </w:rPr>
                  <w:fldChar w:fldCharType="end"/>
                </w:r>
              </w:hyperlink>
            </w:p>
            <w:p w14:paraId="53239080" w14:textId="416A502B" w:rsidR="00B632AC" w:rsidRDefault="00B632AC" w:rsidP="001912B6">
              <w:pPr>
                <w:pStyle w:val="TOC2"/>
                <w:rPr>
                  <w:rFonts w:eastAsiaTheme="minorEastAsia"/>
                  <w:kern w:val="2"/>
                  <w:lang w:eastAsia="en-US"/>
                  <w14:ligatures w14:val="standardContextual"/>
                </w:rPr>
              </w:pPr>
              <w:hyperlink w:anchor="_Toc209014357" w:history="1">
                <w:r w:rsidRPr="006F2931">
                  <w:rPr>
                    <w:rStyle w:val="Hyperlink"/>
                  </w:rPr>
                  <w:t>1.2</w:t>
                </w:r>
                <w:r>
                  <w:rPr>
                    <w:rFonts w:eastAsiaTheme="minorEastAsia"/>
                    <w:kern w:val="2"/>
                    <w:lang w:eastAsia="en-US"/>
                    <w14:ligatures w14:val="standardContextual"/>
                  </w:rPr>
                  <w:tab/>
                </w:r>
                <w:r w:rsidRPr="006F2931">
                  <w:rPr>
                    <w:rStyle w:val="Hyperlink"/>
                  </w:rPr>
                  <w:t>NONDISCRIMINATION &amp; AFFIRMATIVE ACTION POLICY REGARDING ACADEMIC AND STAFF EMPLOYMENT</w:t>
                </w:r>
                <w:r>
                  <w:rPr>
                    <w:webHidden/>
                  </w:rPr>
                  <w:tab/>
                </w:r>
                <w:r>
                  <w:rPr>
                    <w:webHidden/>
                  </w:rPr>
                  <w:fldChar w:fldCharType="begin"/>
                </w:r>
                <w:r>
                  <w:rPr>
                    <w:webHidden/>
                  </w:rPr>
                  <w:instrText xml:space="preserve"> PAGEREF _Toc209014357 \h </w:instrText>
                </w:r>
                <w:r>
                  <w:rPr>
                    <w:webHidden/>
                  </w:rPr>
                </w:r>
                <w:r>
                  <w:rPr>
                    <w:webHidden/>
                  </w:rPr>
                  <w:fldChar w:fldCharType="separate"/>
                </w:r>
                <w:r>
                  <w:rPr>
                    <w:webHidden/>
                  </w:rPr>
                  <w:t>7</w:t>
                </w:r>
                <w:r>
                  <w:rPr>
                    <w:webHidden/>
                  </w:rPr>
                  <w:fldChar w:fldCharType="end"/>
                </w:r>
              </w:hyperlink>
            </w:p>
            <w:p w14:paraId="166B5DD0" w14:textId="5686BE27" w:rsidR="00B632AC" w:rsidRDefault="00B632AC" w:rsidP="001912B6">
              <w:pPr>
                <w:pStyle w:val="TOC2"/>
                <w:rPr>
                  <w:rFonts w:eastAsiaTheme="minorEastAsia"/>
                  <w:kern w:val="2"/>
                  <w:lang w:eastAsia="en-US"/>
                  <w14:ligatures w14:val="standardContextual"/>
                </w:rPr>
              </w:pPr>
              <w:hyperlink w:anchor="_Toc209014358" w:history="1">
                <w:r w:rsidRPr="006F2931">
                  <w:rPr>
                    <w:rStyle w:val="Hyperlink"/>
                  </w:rPr>
                  <w:t>1.3</w:t>
                </w:r>
                <w:r>
                  <w:rPr>
                    <w:rFonts w:eastAsiaTheme="minorEastAsia"/>
                    <w:kern w:val="2"/>
                    <w:lang w:eastAsia="en-US"/>
                    <w14:ligatures w14:val="standardContextual"/>
                  </w:rPr>
                  <w:tab/>
                </w:r>
                <w:r w:rsidRPr="006F2931">
                  <w:rPr>
                    <w:rStyle w:val="Hyperlink"/>
                  </w:rPr>
                  <w:t>NONDISCRIMINATION POLICY STATEMENT FOR COLLEGE PULICATIONS REGARDING STUDENT-RELATED MATTERS</w:t>
                </w:r>
                <w:r>
                  <w:rPr>
                    <w:webHidden/>
                  </w:rPr>
                  <w:tab/>
                </w:r>
                <w:r>
                  <w:rPr>
                    <w:webHidden/>
                  </w:rPr>
                  <w:fldChar w:fldCharType="begin"/>
                </w:r>
                <w:r>
                  <w:rPr>
                    <w:webHidden/>
                  </w:rPr>
                  <w:instrText xml:space="preserve"> PAGEREF _Toc209014358 \h </w:instrText>
                </w:r>
                <w:r>
                  <w:rPr>
                    <w:webHidden/>
                  </w:rPr>
                </w:r>
                <w:r>
                  <w:rPr>
                    <w:webHidden/>
                  </w:rPr>
                  <w:fldChar w:fldCharType="separate"/>
                </w:r>
                <w:r>
                  <w:rPr>
                    <w:webHidden/>
                  </w:rPr>
                  <w:t>8</w:t>
                </w:r>
                <w:r>
                  <w:rPr>
                    <w:webHidden/>
                  </w:rPr>
                  <w:fldChar w:fldCharType="end"/>
                </w:r>
              </w:hyperlink>
            </w:p>
            <w:p w14:paraId="2FFAA9D6" w14:textId="640FCDFE" w:rsidR="00B632AC" w:rsidRDefault="00B632AC">
              <w:pPr>
                <w:pStyle w:val="TOC1"/>
                <w:tabs>
                  <w:tab w:val="left" w:pos="720"/>
                  <w:tab w:val="right" w:leader="dot" w:pos="10910"/>
                </w:tabs>
                <w:rPr>
                  <w:rFonts w:eastAsiaTheme="minorEastAsia"/>
                  <w:noProof/>
                  <w:color w:val="auto"/>
                  <w:kern w:val="2"/>
                  <w:lang w:eastAsia="en-US"/>
                  <w14:ligatures w14:val="standardContextual"/>
                </w:rPr>
              </w:pPr>
              <w:hyperlink w:anchor="_Toc209014359" w:history="1">
                <w:r w:rsidRPr="006F2931">
                  <w:rPr>
                    <w:rStyle w:val="Hyperlink"/>
                    <w:rFonts w:cstheme="minorHAnsi"/>
                    <w:noProof/>
                  </w:rPr>
                  <w:t xml:space="preserve">2.0 </w:t>
                </w:r>
                <w:r>
                  <w:rPr>
                    <w:rFonts w:eastAsiaTheme="minorEastAsia"/>
                    <w:noProof/>
                    <w:color w:val="auto"/>
                    <w:kern w:val="2"/>
                    <w:lang w:eastAsia="en-US"/>
                    <w14:ligatures w14:val="standardContextual"/>
                  </w:rPr>
                  <w:tab/>
                </w:r>
                <w:r w:rsidRPr="006F2931">
                  <w:rPr>
                    <w:rStyle w:val="Hyperlink"/>
                    <w:rFonts w:cstheme="minorHAnsi"/>
                    <w:noProof/>
                  </w:rPr>
                  <w:t xml:space="preserve"> Preparation of the Annual Security Report</w:t>
                </w:r>
                <w:r>
                  <w:rPr>
                    <w:noProof/>
                    <w:webHidden/>
                  </w:rPr>
                  <w:tab/>
                </w:r>
                <w:r>
                  <w:rPr>
                    <w:noProof/>
                    <w:webHidden/>
                  </w:rPr>
                  <w:fldChar w:fldCharType="begin"/>
                </w:r>
                <w:r>
                  <w:rPr>
                    <w:noProof/>
                    <w:webHidden/>
                  </w:rPr>
                  <w:instrText xml:space="preserve"> PAGEREF _Toc209014359 \h </w:instrText>
                </w:r>
                <w:r>
                  <w:rPr>
                    <w:noProof/>
                    <w:webHidden/>
                  </w:rPr>
                </w:r>
                <w:r>
                  <w:rPr>
                    <w:noProof/>
                    <w:webHidden/>
                  </w:rPr>
                  <w:fldChar w:fldCharType="separate"/>
                </w:r>
                <w:r>
                  <w:rPr>
                    <w:noProof/>
                    <w:webHidden/>
                  </w:rPr>
                  <w:t>8</w:t>
                </w:r>
                <w:r>
                  <w:rPr>
                    <w:noProof/>
                    <w:webHidden/>
                  </w:rPr>
                  <w:fldChar w:fldCharType="end"/>
                </w:r>
              </w:hyperlink>
            </w:p>
            <w:p w14:paraId="3E525634" w14:textId="3915C0D2" w:rsidR="00B632AC" w:rsidRDefault="00B632AC" w:rsidP="001912B6">
              <w:pPr>
                <w:pStyle w:val="TOC2"/>
                <w:rPr>
                  <w:rFonts w:eastAsiaTheme="minorEastAsia"/>
                  <w:kern w:val="2"/>
                  <w:lang w:eastAsia="en-US"/>
                  <w14:ligatures w14:val="standardContextual"/>
                </w:rPr>
              </w:pPr>
              <w:hyperlink w:anchor="_Toc209014360" w:history="1">
                <w:r w:rsidRPr="006F2931">
                  <w:rPr>
                    <w:rStyle w:val="Hyperlink"/>
                  </w:rPr>
                  <w:t>2.1</w:t>
                </w:r>
                <w:r>
                  <w:rPr>
                    <w:rFonts w:eastAsiaTheme="minorEastAsia"/>
                    <w:kern w:val="2"/>
                    <w:lang w:eastAsia="en-US"/>
                    <w14:ligatures w14:val="standardContextual"/>
                  </w:rPr>
                  <w:tab/>
                </w:r>
                <w:r w:rsidRPr="006F2931">
                  <w:rPr>
                    <w:rStyle w:val="Hyperlink"/>
                  </w:rPr>
                  <w:t>PURPOSE OF THE ANNUAL SECURITY REPORT</w:t>
                </w:r>
                <w:r>
                  <w:rPr>
                    <w:webHidden/>
                  </w:rPr>
                  <w:tab/>
                </w:r>
                <w:r>
                  <w:rPr>
                    <w:webHidden/>
                  </w:rPr>
                  <w:fldChar w:fldCharType="begin"/>
                </w:r>
                <w:r>
                  <w:rPr>
                    <w:webHidden/>
                  </w:rPr>
                  <w:instrText xml:space="preserve"> PAGEREF _Toc209014360 \h </w:instrText>
                </w:r>
                <w:r>
                  <w:rPr>
                    <w:webHidden/>
                  </w:rPr>
                </w:r>
                <w:r>
                  <w:rPr>
                    <w:webHidden/>
                  </w:rPr>
                  <w:fldChar w:fldCharType="separate"/>
                </w:r>
                <w:r>
                  <w:rPr>
                    <w:webHidden/>
                  </w:rPr>
                  <w:t>8</w:t>
                </w:r>
                <w:r>
                  <w:rPr>
                    <w:webHidden/>
                  </w:rPr>
                  <w:fldChar w:fldCharType="end"/>
                </w:r>
              </w:hyperlink>
            </w:p>
            <w:p w14:paraId="77C1CC19" w14:textId="2D3FC3C7" w:rsidR="00B632AC" w:rsidRDefault="00B632AC" w:rsidP="001912B6">
              <w:pPr>
                <w:pStyle w:val="TOC2"/>
                <w:rPr>
                  <w:rFonts w:eastAsiaTheme="minorEastAsia"/>
                  <w:kern w:val="2"/>
                  <w:lang w:eastAsia="en-US"/>
                  <w14:ligatures w14:val="standardContextual"/>
                </w:rPr>
              </w:pPr>
              <w:hyperlink w:anchor="_Toc209014361" w:history="1">
                <w:r w:rsidRPr="006F2931">
                  <w:rPr>
                    <w:rStyle w:val="Hyperlink"/>
                  </w:rPr>
                  <w:t>2.2</w:t>
                </w:r>
                <w:r>
                  <w:rPr>
                    <w:rFonts w:eastAsiaTheme="minorEastAsia"/>
                    <w:kern w:val="2"/>
                    <w:lang w:eastAsia="en-US"/>
                    <w14:ligatures w14:val="standardContextual"/>
                  </w:rPr>
                  <w:tab/>
                </w:r>
                <w:r w:rsidRPr="006F2931">
                  <w:rPr>
                    <w:rStyle w:val="Hyperlink"/>
                  </w:rPr>
                  <w:t>ANNUAL SECURITY REPORT NOTIFICATION AND DISTRIBUTION</w:t>
                </w:r>
                <w:r>
                  <w:rPr>
                    <w:webHidden/>
                  </w:rPr>
                  <w:tab/>
                </w:r>
                <w:r>
                  <w:rPr>
                    <w:webHidden/>
                  </w:rPr>
                  <w:fldChar w:fldCharType="begin"/>
                </w:r>
                <w:r>
                  <w:rPr>
                    <w:webHidden/>
                  </w:rPr>
                  <w:instrText xml:space="preserve"> PAGEREF _Toc209014361 \h </w:instrText>
                </w:r>
                <w:r>
                  <w:rPr>
                    <w:webHidden/>
                  </w:rPr>
                </w:r>
                <w:r>
                  <w:rPr>
                    <w:webHidden/>
                  </w:rPr>
                  <w:fldChar w:fldCharType="separate"/>
                </w:r>
                <w:r>
                  <w:rPr>
                    <w:webHidden/>
                  </w:rPr>
                  <w:t>8</w:t>
                </w:r>
                <w:r>
                  <w:rPr>
                    <w:webHidden/>
                  </w:rPr>
                  <w:fldChar w:fldCharType="end"/>
                </w:r>
              </w:hyperlink>
            </w:p>
            <w:p w14:paraId="60BFD8A9" w14:textId="626FCB92" w:rsidR="00B632AC" w:rsidRDefault="00B632AC">
              <w:pPr>
                <w:pStyle w:val="TOC1"/>
                <w:tabs>
                  <w:tab w:val="left" w:pos="720"/>
                  <w:tab w:val="right" w:leader="dot" w:pos="10910"/>
                </w:tabs>
                <w:rPr>
                  <w:rFonts w:eastAsiaTheme="minorEastAsia"/>
                  <w:noProof/>
                  <w:color w:val="auto"/>
                  <w:kern w:val="2"/>
                  <w:lang w:eastAsia="en-US"/>
                  <w14:ligatures w14:val="standardContextual"/>
                </w:rPr>
              </w:pPr>
              <w:hyperlink w:anchor="_Toc209014362" w:history="1">
                <w:r w:rsidRPr="006F2931">
                  <w:rPr>
                    <w:rStyle w:val="Hyperlink"/>
                    <w:rFonts w:cstheme="minorHAnsi"/>
                    <w:noProof/>
                  </w:rPr>
                  <w:t xml:space="preserve">3.0 </w:t>
                </w:r>
                <w:r>
                  <w:rPr>
                    <w:rFonts w:eastAsiaTheme="minorEastAsia"/>
                    <w:noProof/>
                    <w:color w:val="auto"/>
                    <w:kern w:val="2"/>
                    <w:lang w:eastAsia="en-US"/>
                    <w14:ligatures w14:val="standardContextual"/>
                  </w:rPr>
                  <w:tab/>
                </w:r>
                <w:r w:rsidRPr="006F2931">
                  <w:rPr>
                    <w:rStyle w:val="Hyperlink"/>
                    <w:rFonts w:cstheme="minorHAnsi"/>
                    <w:noProof/>
                  </w:rPr>
                  <w:t>Campus Security Department and Other Agencies</w:t>
                </w:r>
                <w:r>
                  <w:rPr>
                    <w:noProof/>
                    <w:webHidden/>
                  </w:rPr>
                  <w:tab/>
                </w:r>
                <w:r>
                  <w:rPr>
                    <w:noProof/>
                    <w:webHidden/>
                  </w:rPr>
                  <w:fldChar w:fldCharType="begin"/>
                </w:r>
                <w:r>
                  <w:rPr>
                    <w:noProof/>
                    <w:webHidden/>
                  </w:rPr>
                  <w:instrText xml:space="preserve"> PAGEREF _Toc209014362 \h </w:instrText>
                </w:r>
                <w:r>
                  <w:rPr>
                    <w:noProof/>
                    <w:webHidden/>
                  </w:rPr>
                </w:r>
                <w:r>
                  <w:rPr>
                    <w:noProof/>
                    <w:webHidden/>
                  </w:rPr>
                  <w:fldChar w:fldCharType="separate"/>
                </w:r>
                <w:r>
                  <w:rPr>
                    <w:noProof/>
                    <w:webHidden/>
                  </w:rPr>
                  <w:t>9</w:t>
                </w:r>
                <w:r>
                  <w:rPr>
                    <w:noProof/>
                    <w:webHidden/>
                  </w:rPr>
                  <w:fldChar w:fldCharType="end"/>
                </w:r>
              </w:hyperlink>
            </w:p>
            <w:p w14:paraId="3AE7B5B8" w14:textId="67F35F8E" w:rsidR="00B632AC" w:rsidRDefault="00B632AC" w:rsidP="001912B6">
              <w:pPr>
                <w:pStyle w:val="TOC2"/>
                <w:rPr>
                  <w:rFonts w:eastAsiaTheme="minorEastAsia"/>
                  <w:kern w:val="2"/>
                  <w:lang w:eastAsia="en-US"/>
                  <w14:ligatures w14:val="standardContextual"/>
                </w:rPr>
              </w:pPr>
              <w:hyperlink w:anchor="_Toc209014363" w:history="1">
                <w:r w:rsidRPr="006F2931">
                  <w:rPr>
                    <w:rStyle w:val="Hyperlink"/>
                  </w:rPr>
                  <w:t>3.1</w:t>
                </w:r>
                <w:r>
                  <w:rPr>
                    <w:rFonts w:eastAsiaTheme="minorEastAsia"/>
                    <w:kern w:val="2"/>
                    <w:lang w:eastAsia="en-US"/>
                    <w14:ligatures w14:val="standardContextual"/>
                  </w:rPr>
                  <w:tab/>
                </w:r>
                <w:r w:rsidRPr="006F2931">
                  <w:rPr>
                    <w:rStyle w:val="Hyperlink"/>
                  </w:rPr>
                  <w:t>CAMPUS SECURITY DEPARTMENT AND OTHER AGENCIES</w:t>
                </w:r>
                <w:r>
                  <w:rPr>
                    <w:webHidden/>
                  </w:rPr>
                  <w:tab/>
                </w:r>
                <w:r>
                  <w:rPr>
                    <w:webHidden/>
                  </w:rPr>
                  <w:fldChar w:fldCharType="begin"/>
                </w:r>
                <w:r>
                  <w:rPr>
                    <w:webHidden/>
                  </w:rPr>
                  <w:instrText xml:space="preserve"> PAGEREF _Toc209014363 \h </w:instrText>
                </w:r>
                <w:r>
                  <w:rPr>
                    <w:webHidden/>
                  </w:rPr>
                </w:r>
                <w:r>
                  <w:rPr>
                    <w:webHidden/>
                  </w:rPr>
                  <w:fldChar w:fldCharType="separate"/>
                </w:r>
                <w:r>
                  <w:rPr>
                    <w:webHidden/>
                  </w:rPr>
                  <w:t>9</w:t>
                </w:r>
                <w:r>
                  <w:rPr>
                    <w:webHidden/>
                  </w:rPr>
                  <w:fldChar w:fldCharType="end"/>
                </w:r>
              </w:hyperlink>
            </w:p>
            <w:p w14:paraId="66332404" w14:textId="37171370" w:rsidR="00B632AC" w:rsidRDefault="00B632AC" w:rsidP="001912B6">
              <w:pPr>
                <w:pStyle w:val="TOC2"/>
                <w:rPr>
                  <w:rFonts w:eastAsiaTheme="minorEastAsia"/>
                  <w:kern w:val="2"/>
                  <w:lang w:eastAsia="en-US"/>
                  <w14:ligatures w14:val="standardContextual"/>
                </w:rPr>
              </w:pPr>
              <w:hyperlink w:anchor="_Toc209014364" w:history="1">
                <w:r w:rsidRPr="006F2931">
                  <w:rPr>
                    <w:rStyle w:val="Hyperlink"/>
                  </w:rPr>
                  <w:t>3.2</w:t>
                </w:r>
                <w:r>
                  <w:rPr>
                    <w:rFonts w:eastAsiaTheme="minorEastAsia"/>
                    <w:kern w:val="2"/>
                    <w:lang w:eastAsia="en-US"/>
                    <w14:ligatures w14:val="standardContextual"/>
                  </w:rPr>
                  <w:tab/>
                </w:r>
                <w:r w:rsidRPr="006F2931">
                  <w:rPr>
                    <w:rStyle w:val="Hyperlink"/>
                  </w:rPr>
                  <w:t>JURISDICTION, ENFORCEMENT AUTHORITY, AND ARREST AUTHORITY</w:t>
                </w:r>
                <w:r>
                  <w:rPr>
                    <w:webHidden/>
                  </w:rPr>
                  <w:tab/>
                </w:r>
                <w:r>
                  <w:rPr>
                    <w:webHidden/>
                  </w:rPr>
                  <w:fldChar w:fldCharType="begin"/>
                </w:r>
                <w:r>
                  <w:rPr>
                    <w:webHidden/>
                  </w:rPr>
                  <w:instrText xml:space="preserve"> PAGEREF _Toc209014364 \h </w:instrText>
                </w:r>
                <w:r>
                  <w:rPr>
                    <w:webHidden/>
                  </w:rPr>
                </w:r>
                <w:r>
                  <w:rPr>
                    <w:webHidden/>
                  </w:rPr>
                  <w:fldChar w:fldCharType="separate"/>
                </w:r>
                <w:r>
                  <w:rPr>
                    <w:webHidden/>
                  </w:rPr>
                  <w:t>9</w:t>
                </w:r>
                <w:r>
                  <w:rPr>
                    <w:webHidden/>
                  </w:rPr>
                  <w:fldChar w:fldCharType="end"/>
                </w:r>
              </w:hyperlink>
            </w:p>
            <w:p w14:paraId="52F994EE" w14:textId="518BD7EC" w:rsidR="00B632AC" w:rsidRDefault="00B632AC" w:rsidP="001912B6">
              <w:pPr>
                <w:pStyle w:val="TOC2"/>
                <w:rPr>
                  <w:rFonts w:eastAsiaTheme="minorEastAsia"/>
                  <w:kern w:val="2"/>
                  <w:lang w:eastAsia="en-US"/>
                  <w14:ligatures w14:val="standardContextual"/>
                </w:rPr>
              </w:pPr>
              <w:hyperlink w:anchor="_Toc209014365" w:history="1">
                <w:r w:rsidRPr="006F2931">
                  <w:rPr>
                    <w:rStyle w:val="Hyperlink"/>
                  </w:rPr>
                  <w:t>3.3</w:t>
                </w:r>
                <w:r>
                  <w:rPr>
                    <w:rFonts w:eastAsiaTheme="minorEastAsia"/>
                    <w:kern w:val="2"/>
                    <w:lang w:eastAsia="en-US"/>
                    <w14:ligatures w14:val="standardContextual"/>
                  </w:rPr>
                  <w:tab/>
                </w:r>
                <w:r w:rsidRPr="006F2931">
                  <w:rPr>
                    <w:rStyle w:val="Hyperlink"/>
                  </w:rPr>
                  <w:t>WORKING RELATIONSHIPS WITH LOCAL LAW ENFORCEMENT</w:t>
                </w:r>
                <w:r>
                  <w:rPr>
                    <w:webHidden/>
                  </w:rPr>
                  <w:tab/>
                </w:r>
                <w:r>
                  <w:rPr>
                    <w:webHidden/>
                  </w:rPr>
                  <w:fldChar w:fldCharType="begin"/>
                </w:r>
                <w:r>
                  <w:rPr>
                    <w:webHidden/>
                  </w:rPr>
                  <w:instrText xml:space="preserve"> PAGEREF _Toc209014365 \h </w:instrText>
                </w:r>
                <w:r>
                  <w:rPr>
                    <w:webHidden/>
                  </w:rPr>
                </w:r>
                <w:r>
                  <w:rPr>
                    <w:webHidden/>
                  </w:rPr>
                  <w:fldChar w:fldCharType="separate"/>
                </w:r>
                <w:r>
                  <w:rPr>
                    <w:webHidden/>
                  </w:rPr>
                  <w:t>10</w:t>
                </w:r>
                <w:r>
                  <w:rPr>
                    <w:webHidden/>
                  </w:rPr>
                  <w:fldChar w:fldCharType="end"/>
                </w:r>
              </w:hyperlink>
            </w:p>
            <w:p w14:paraId="4BD34261" w14:textId="522C5981" w:rsidR="00B632AC" w:rsidRDefault="00B632AC" w:rsidP="001912B6">
              <w:pPr>
                <w:pStyle w:val="TOC2"/>
                <w:rPr>
                  <w:rFonts w:eastAsiaTheme="minorEastAsia"/>
                  <w:kern w:val="2"/>
                  <w:lang w:eastAsia="en-US"/>
                  <w14:ligatures w14:val="standardContextual"/>
                </w:rPr>
              </w:pPr>
              <w:hyperlink w:anchor="_Toc209014366" w:history="1">
                <w:r w:rsidRPr="006F2931">
                  <w:rPr>
                    <w:rStyle w:val="Hyperlink"/>
                  </w:rPr>
                  <w:t>3.4</w:t>
                </w:r>
                <w:r>
                  <w:rPr>
                    <w:rFonts w:eastAsiaTheme="minorEastAsia"/>
                    <w:kern w:val="2"/>
                    <w:lang w:eastAsia="en-US"/>
                    <w14:ligatures w14:val="standardContextual"/>
                  </w:rPr>
                  <w:tab/>
                </w:r>
                <w:r w:rsidRPr="006F2931">
                  <w:rPr>
                    <w:rStyle w:val="Hyperlink"/>
                  </w:rPr>
                  <w:t>CRIMES INVOLVING STUDENT ORGANIZATIONS AT OFF CAMPUS LOCATIONS</w:t>
                </w:r>
                <w:r>
                  <w:rPr>
                    <w:webHidden/>
                  </w:rPr>
                  <w:tab/>
                </w:r>
                <w:r>
                  <w:rPr>
                    <w:webHidden/>
                  </w:rPr>
                  <w:fldChar w:fldCharType="begin"/>
                </w:r>
                <w:r>
                  <w:rPr>
                    <w:webHidden/>
                  </w:rPr>
                  <w:instrText xml:space="preserve"> PAGEREF _Toc209014366 \h </w:instrText>
                </w:r>
                <w:r>
                  <w:rPr>
                    <w:webHidden/>
                  </w:rPr>
                </w:r>
                <w:r>
                  <w:rPr>
                    <w:webHidden/>
                  </w:rPr>
                  <w:fldChar w:fldCharType="separate"/>
                </w:r>
                <w:r>
                  <w:rPr>
                    <w:webHidden/>
                  </w:rPr>
                  <w:t>10</w:t>
                </w:r>
                <w:r>
                  <w:rPr>
                    <w:webHidden/>
                  </w:rPr>
                  <w:fldChar w:fldCharType="end"/>
                </w:r>
              </w:hyperlink>
            </w:p>
            <w:p w14:paraId="02A66DDE" w14:textId="666CDF79" w:rsidR="00B632AC" w:rsidRDefault="00B632AC">
              <w:pPr>
                <w:pStyle w:val="TOC1"/>
                <w:tabs>
                  <w:tab w:val="left" w:pos="720"/>
                  <w:tab w:val="right" w:leader="dot" w:pos="10910"/>
                </w:tabs>
                <w:rPr>
                  <w:rFonts w:eastAsiaTheme="minorEastAsia"/>
                  <w:noProof/>
                  <w:color w:val="auto"/>
                  <w:kern w:val="2"/>
                  <w:lang w:eastAsia="en-US"/>
                  <w14:ligatures w14:val="standardContextual"/>
                </w:rPr>
              </w:pPr>
              <w:hyperlink w:anchor="_Toc209014367" w:history="1">
                <w:r w:rsidRPr="006F2931">
                  <w:rPr>
                    <w:rStyle w:val="Hyperlink"/>
                    <w:rFonts w:cstheme="minorHAnsi"/>
                    <w:noProof/>
                  </w:rPr>
                  <w:t>4.0</w:t>
                </w:r>
                <w:r>
                  <w:rPr>
                    <w:rFonts w:eastAsiaTheme="minorEastAsia"/>
                    <w:noProof/>
                    <w:color w:val="auto"/>
                    <w:kern w:val="2"/>
                    <w:lang w:eastAsia="en-US"/>
                    <w14:ligatures w14:val="standardContextual"/>
                  </w:rPr>
                  <w:tab/>
                </w:r>
                <w:r w:rsidRPr="006F2931">
                  <w:rPr>
                    <w:rStyle w:val="Hyperlink"/>
                    <w:rFonts w:cstheme="minorHAnsi"/>
                    <w:noProof/>
                  </w:rPr>
                  <w:t>Reporting Criminal Activity and Emergencies</w:t>
                </w:r>
                <w:r>
                  <w:rPr>
                    <w:noProof/>
                    <w:webHidden/>
                  </w:rPr>
                  <w:tab/>
                </w:r>
                <w:r>
                  <w:rPr>
                    <w:noProof/>
                    <w:webHidden/>
                  </w:rPr>
                  <w:fldChar w:fldCharType="begin"/>
                </w:r>
                <w:r>
                  <w:rPr>
                    <w:noProof/>
                    <w:webHidden/>
                  </w:rPr>
                  <w:instrText xml:space="preserve"> PAGEREF _Toc209014367 \h </w:instrText>
                </w:r>
                <w:r>
                  <w:rPr>
                    <w:noProof/>
                    <w:webHidden/>
                  </w:rPr>
                </w:r>
                <w:r>
                  <w:rPr>
                    <w:noProof/>
                    <w:webHidden/>
                  </w:rPr>
                  <w:fldChar w:fldCharType="separate"/>
                </w:r>
                <w:r>
                  <w:rPr>
                    <w:noProof/>
                    <w:webHidden/>
                  </w:rPr>
                  <w:t>11</w:t>
                </w:r>
                <w:r>
                  <w:rPr>
                    <w:noProof/>
                    <w:webHidden/>
                  </w:rPr>
                  <w:fldChar w:fldCharType="end"/>
                </w:r>
              </w:hyperlink>
            </w:p>
            <w:p w14:paraId="45D17CF8" w14:textId="40A0B22C" w:rsidR="00B632AC" w:rsidRDefault="00B632AC" w:rsidP="001912B6">
              <w:pPr>
                <w:pStyle w:val="TOC2"/>
                <w:rPr>
                  <w:rFonts w:eastAsiaTheme="minorEastAsia"/>
                  <w:kern w:val="2"/>
                  <w:lang w:eastAsia="en-US"/>
                  <w14:ligatures w14:val="standardContextual"/>
                </w:rPr>
              </w:pPr>
              <w:hyperlink w:anchor="_Toc209014368" w:history="1">
                <w:r w:rsidRPr="006F2931">
                  <w:rPr>
                    <w:rStyle w:val="Hyperlink"/>
                  </w:rPr>
                  <w:t>4.1</w:t>
                </w:r>
                <w:r>
                  <w:rPr>
                    <w:rFonts w:eastAsiaTheme="minorEastAsia"/>
                    <w:kern w:val="2"/>
                    <w:lang w:eastAsia="en-US"/>
                    <w14:ligatures w14:val="standardContextual"/>
                  </w:rPr>
                  <w:tab/>
                </w:r>
                <w:r w:rsidRPr="006F2931">
                  <w:rPr>
                    <w:rStyle w:val="Hyperlink"/>
                  </w:rPr>
                  <w:t>ACCURATE AND PROMPT REPORTING OF CRIMINAL ACTIVITY</w:t>
                </w:r>
                <w:r>
                  <w:rPr>
                    <w:webHidden/>
                  </w:rPr>
                  <w:tab/>
                </w:r>
                <w:r>
                  <w:rPr>
                    <w:webHidden/>
                  </w:rPr>
                  <w:fldChar w:fldCharType="begin"/>
                </w:r>
                <w:r>
                  <w:rPr>
                    <w:webHidden/>
                  </w:rPr>
                  <w:instrText xml:space="preserve"> PAGEREF _Toc209014368 \h </w:instrText>
                </w:r>
                <w:r>
                  <w:rPr>
                    <w:webHidden/>
                  </w:rPr>
                </w:r>
                <w:r>
                  <w:rPr>
                    <w:webHidden/>
                  </w:rPr>
                  <w:fldChar w:fldCharType="separate"/>
                </w:r>
                <w:r>
                  <w:rPr>
                    <w:webHidden/>
                  </w:rPr>
                  <w:t>11</w:t>
                </w:r>
                <w:r>
                  <w:rPr>
                    <w:webHidden/>
                  </w:rPr>
                  <w:fldChar w:fldCharType="end"/>
                </w:r>
              </w:hyperlink>
            </w:p>
            <w:p w14:paraId="10B40D17" w14:textId="026D4CC7" w:rsidR="00B632AC" w:rsidRDefault="00B632AC" w:rsidP="001912B6">
              <w:pPr>
                <w:pStyle w:val="TOC2"/>
                <w:rPr>
                  <w:rFonts w:eastAsiaTheme="minorEastAsia"/>
                  <w:kern w:val="2"/>
                  <w:lang w:eastAsia="en-US"/>
                  <w14:ligatures w14:val="standardContextual"/>
                </w:rPr>
              </w:pPr>
              <w:hyperlink w:anchor="_Toc209014369" w:history="1">
                <w:r w:rsidRPr="006F2931">
                  <w:rPr>
                    <w:rStyle w:val="Hyperlink"/>
                  </w:rPr>
                  <w:t>4.2</w:t>
                </w:r>
                <w:r>
                  <w:rPr>
                    <w:rFonts w:eastAsiaTheme="minorEastAsia"/>
                    <w:kern w:val="2"/>
                    <w:lang w:eastAsia="en-US"/>
                    <w14:ligatures w14:val="standardContextual"/>
                  </w:rPr>
                  <w:tab/>
                </w:r>
                <w:r w:rsidRPr="006F2931">
                  <w:rPr>
                    <w:rStyle w:val="Hyperlink"/>
                  </w:rPr>
                  <w:t>REPORTING EMERGENCIES</w:t>
                </w:r>
                <w:r>
                  <w:rPr>
                    <w:webHidden/>
                  </w:rPr>
                  <w:tab/>
                </w:r>
                <w:r>
                  <w:rPr>
                    <w:webHidden/>
                  </w:rPr>
                  <w:fldChar w:fldCharType="begin"/>
                </w:r>
                <w:r>
                  <w:rPr>
                    <w:webHidden/>
                  </w:rPr>
                  <w:instrText xml:space="preserve"> PAGEREF _Toc209014369 \h </w:instrText>
                </w:r>
                <w:r>
                  <w:rPr>
                    <w:webHidden/>
                  </w:rPr>
                </w:r>
                <w:r>
                  <w:rPr>
                    <w:webHidden/>
                  </w:rPr>
                  <w:fldChar w:fldCharType="separate"/>
                </w:r>
                <w:r>
                  <w:rPr>
                    <w:webHidden/>
                  </w:rPr>
                  <w:t>13</w:t>
                </w:r>
                <w:r>
                  <w:rPr>
                    <w:webHidden/>
                  </w:rPr>
                  <w:fldChar w:fldCharType="end"/>
                </w:r>
              </w:hyperlink>
            </w:p>
            <w:p w14:paraId="6666F169" w14:textId="1738C961" w:rsidR="00B632AC" w:rsidRDefault="00B632AC" w:rsidP="001912B6">
              <w:pPr>
                <w:pStyle w:val="TOC2"/>
                <w:rPr>
                  <w:rFonts w:eastAsiaTheme="minorEastAsia"/>
                  <w:kern w:val="2"/>
                  <w:lang w:eastAsia="en-US"/>
                  <w14:ligatures w14:val="standardContextual"/>
                </w:rPr>
              </w:pPr>
              <w:hyperlink w:anchor="_Toc209014370" w:history="1">
                <w:r w:rsidRPr="006F2931">
                  <w:rPr>
                    <w:rStyle w:val="Hyperlink"/>
                  </w:rPr>
                  <w:t>4.3</w:t>
                </w:r>
                <w:r>
                  <w:rPr>
                    <w:rFonts w:eastAsiaTheme="minorEastAsia"/>
                    <w:kern w:val="2"/>
                    <w:lang w:eastAsia="en-US"/>
                    <w14:ligatures w14:val="standardContextual"/>
                  </w:rPr>
                  <w:tab/>
                </w:r>
                <w:r w:rsidRPr="006F2931">
                  <w:rPr>
                    <w:rStyle w:val="Hyperlink"/>
                  </w:rPr>
                  <w:t>REPORTING NON-EMERGENCIES</w:t>
                </w:r>
                <w:r>
                  <w:rPr>
                    <w:webHidden/>
                  </w:rPr>
                  <w:tab/>
                </w:r>
                <w:r>
                  <w:rPr>
                    <w:webHidden/>
                  </w:rPr>
                  <w:fldChar w:fldCharType="begin"/>
                </w:r>
                <w:r>
                  <w:rPr>
                    <w:webHidden/>
                  </w:rPr>
                  <w:instrText xml:space="preserve"> PAGEREF _Toc209014370 \h </w:instrText>
                </w:r>
                <w:r>
                  <w:rPr>
                    <w:webHidden/>
                  </w:rPr>
                </w:r>
                <w:r>
                  <w:rPr>
                    <w:webHidden/>
                  </w:rPr>
                  <w:fldChar w:fldCharType="separate"/>
                </w:r>
                <w:r>
                  <w:rPr>
                    <w:webHidden/>
                  </w:rPr>
                  <w:t>13</w:t>
                </w:r>
                <w:r>
                  <w:rPr>
                    <w:webHidden/>
                  </w:rPr>
                  <w:fldChar w:fldCharType="end"/>
                </w:r>
              </w:hyperlink>
            </w:p>
            <w:p w14:paraId="164842FB" w14:textId="212E95C8" w:rsidR="00B632AC" w:rsidRDefault="00B632AC" w:rsidP="001912B6">
              <w:pPr>
                <w:pStyle w:val="TOC2"/>
                <w:rPr>
                  <w:rFonts w:eastAsiaTheme="minorEastAsia"/>
                  <w:kern w:val="2"/>
                  <w:lang w:eastAsia="en-US"/>
                  <w14:ligatures w14:val="standardContextual"/>
                </w:rPr>
              </w:pPr>
              <w:hyperlink w:anchor="_Toc209014371" w:history="1">
                <w:r w:rsidRPr="006F2931">
                  <w:rPr>
                    <w:rStyle w:val="Hyperlink"/>
                  </w:rPr>
                  <w:t>4.4</w:t>
                </w:r>
                <w:r>
                  <w:rPr>
                    <w:rFonts w:eastAsiaTheme="minorEastAsia"/>
                    <w:kern w:val="2"/>
                    <w:lang w:eastAsia="en-US"/>
                    <w14:ligatures w14:val="standardContextual"/>
                  </w:rPr>
                  <w:tab/>
                </w:r>
                <w:r w:rsidRPr="006F2931">
                  <w:rPr>
                    <w:rStyle w:val="Hyperlink"/>
                  </w:rPr>
                  <w:t>VOLUNTARY CONFIDENTIAL REPORTING OPTIONS</w:t>
                </w:r>
                <w:r>
                  <w:rPr>
                    <w:webHidden/>
                  </w:rPr>
                  <w:tab/>
                </w:r>
                <w:r>
                  <w:rPr>
                    <w:webHidden/>
                  </w:rPr>
                  <w:fldChar w:fldCharType="begin"/>
                </w:r>
                <w:r>
                  <w:rPr>
                    <w:webHidden/>
                  </w:rPr>
                  <w:instrText xml:space="preserve"> PAGEREF _Toc209014371 \h </w:instrText>
                </w:r>
                <w:r>
                  <w:rPr>
                    <w:webHidden/>
                  </w:rPr>
                </w:r>
                <w:r>
                  <w:rPr>
                    <w:webHidden/>
                  </w:rPr>
                  <w:fldChar w:fldCharType="separate"/>
                </w:r>
                <w:r>
                  <w:rPr>
                    <w:webHidden/>
                  </w:rPr>
                  <w:t>13</w:t>
                </w:r>
                <w:r>
                  <w:rPr>
                    <w:webHidden/>
                  </w:rPr>
                  <w:fldChar w:fldCharType="end"/>
                </w:r>
              </w:hyperlink>
            </w:p>
            <w:p w14:paraId="6D3E57FE" w14:textId="6B5DE6A4" w:rsidR="00B632AC" w:rsidRDefault="00B632AC" w:rsidP="001912B6">
              <w:pPr>
                <w:pStyle w:val="TOC2"/>
                <w:rPr>
                  <w:rFonts w:eastAsiaTheme="minorEastAsia"/>
                  <w:kern w:val="2"/>
                  <w:lang w:eastAsia="en-US"/>
                  <w14:ligatures w14:val="standardContextual"/>
                </w:rPr>
              </w:pPr>
              <w:hyperlink w:anchor="_Toc209014372" w:history="1">
                <w:r w:rsidRPr="006F2931">
                  <w:rPr>
                    <w:rStyle w:val="Hyperlink"/>
                  </w:rPr>
                  <w:t>4.5</w:t>
                </w:r>
                <w:r>
                  <w:rPr>
                    <w:rFonts w:eastAsiaTheme="minorEastAsia"/>
                    <w:kern w:val="2"/>
                    <w:lang w:eastAsia="en-US"/>
                    <w14:ligatures w14:val="standardContextual"/>
                  </w:rPr>
                  <w:tab/>
                </w:r>
                <w:r w:rsidRPr="006F2931">
                  <w:rPr>
                    <w:rStyle w:val="Hyperlink"/>
                  </w:rPr>
                  <w:t>CAMPUS SECURITY AUTHORITIES</w:t>
                </w:r>
                <w:r>
                  <w:rPr>
                    <w:webHidden/>
                  </w:rPr>
                  <w:tab/>
                </w:r>
                <w:r>
                  <w:rPr>
                    <w:webHidden/>
                  </w:rPr>
                  <w:fldChar w:fldCharType="begin"/>
                </w:r>
                <w:r>
                  <w:rPr>
                    <w:webHidden/>
                  </w:rPr>
                  <w:instrText xml:space="preserve"> PAGEREF _Toc209014372 \h </w:instrText>
                </w:r>
                <w:r>
                  <w:rPr>
                    <w:webHidden/>
                  </w:rPr>
                </w:r>
                <w:r>
                  <w:rPr>
                    <w:webHidden/>
                  </w:rPr>
                  <w:fldChar w:fldCharType="separate"/>
                </w:r>
                <w:r>
                  <w:rPr>
                    <w:webHidden/>
                  </w:rPr>
                  <w:t>14</w:t>
                </w:r>
                <w:r>
                  <w:rPr>
                    <w:webHidden/>
                  </w:rPr>
                  <w:fldChar w:fldCharType="end"/>
                </w:r>
              </w:hyperlink>
            </w:p>
            <w:p w14:paraId="0BC2B00D" w14:textId="452507A9" w:rsidR="00B632AC" w:rsidRDefault="00B632AC" w:rsidP="001912B6">
              <w:pPr>
                <w:pStyle w:val="TOC2"/>
                <w:rPr>
                  <w:rFonts w:eastAsiaTheme="minorEastAsia"/>
                  <w:kern w:val="2"/>
                  <w:lang w:eastAsia="en-US"/>
                  <w14:ligatures w14:val="standardContextual"/>
                </w:rPr>
              </w:pPr>
              <w:hyperlink w:anchor="_Toc209014373" w:history="1">
                <w:r w:rsidRPr="006F2931">
                  <w:rPr>
                    <w:rStyle w:val="Hyperlink"/>
                  </w:rPr>
                  <w:t>4.6</w:t>
                </w:r>
                <w:r>
                  <w:rPr>
                    <w:rFonts w:eastAsiaTheme="minorEastAsia"/>
                    <w:kern w:val="2"/>
                    <w:lang w:eastAsia="en-US"/>
                    <w14:ligatures w14:val="standardContextual"/>
                  </w:rPr>
                  <w:tab/>
                </w:r>
                <w:r w:rsidRPr="006F2931">
                  <w:rPr>
                    <w:rStyle w:val="Hyperlink"/>
                  </w:rPr>
                  <w:t>IMPORTANT TELEPHONE NUMBERS</w:t>
                </w:r>
                <w:r>
                  <w:rPr>
                    <w:webHidden/>
                  </w:rPr>
                  <w:tab/>
                </w:r>
                <w:r>
                  <w:rPr>
                    <w:webHidden/>
                  </w:rPr>
                  <w:fldChar w:fldCharType="begin"/>
                </w:r>
                <w:r>
                  <w:rPr>
                    <w:webHidden/>
                  </w:rPr>
                  <w:instrText xml:space="preserve"> PAGEREF _Toc209014373 \h </w:instrText>
                </w:r>
                <w:r>
                  <w:rPr>
                    <w:webHidden/>
                  </w:rPr>
                </w:r>
                <w:r>
                  <w:rPr>
                    <w:webHidden/>
                  </w:rPr>
                  <w:fldChar w:fldCharType="separate"/>
                </w:r>
                <w:r>
                  <w:rPr>
                    <w:webHidden/>
                  </w:rPr>
                  <w:t>15</w:t>
                </w:r>
                <w:r>
                  <w:rPr>
                    <w:webHidden/>
                  </w:rPr>
                  <w:fldChar w:fldCharType="end"/>
                </w:r>
              </w:hyperlink>
            </w:p>
            <w:p w14:paraId="46E8911A" w14:textId="7E15EDFD" w:rsidR="00B632AC" w:rsidRDefault="00B632AC" w:rsidP="001912B6">
              <w:pPr>
                <w:pStyle w:val="TOC2"/>
                <w:rPr>
                  <w:rFonts w:eastAsiaTheme="minorEastAsia"/>
                  <w:kern w:val="2"/>
                  <w:lang w:eastAsia="en-US"/>
                  <w14:ligatures w14:val="standardContextual"/>
                </w:rPr>
              </w:pPr>
              <w:hyperlink w:anchor="_Toc209014374" w:history="1">
                <w:r w:rsidRPr="006F2931">
                  <w:rPr>
                    <w:rStyle w:val="Hyperlink"/>
                  </w:rPr>
                  <w:t>4.7</w:t>
                </w:r>
                <w:r>
                  <w:rPr>
                    <w:rFonts w:eastAsiaTheme="minorEastAsia"/>
                    <w:kern w:val="2"/>
                    <w:lang w:eastAsia="en-US"/>
                    <w14:ligatures w14:val="standardContextual"/>
                  </w:rPr>
                  <w:tab/>
                </w:r>
                <w:r w:rsidRPr="006F2931">
                  <w:rPr>
                    <w:rStyle w:val="Hyperlink"/>
                  </w:rPr>
                  <w:t>PROFESSIONAL AND PASTORAL COUNSELORS</w:t>
                </w:r>
                <w:r>
                  <w:rPr>
                    <w:webHidden/>
                  </w:rPr>
                  <w:tab/>
                </w:r>
                <w:r>
                  <w:rPr>
                    <w:webHidden/>
                  </w:rPr>
                  <w:fldChar w:fldCharType="begin"/>
                </w:r>
                <w:r>
                  <w:rPr>
                    <w:webHidden/>
                  </w:rPr>
                  <w:instrText xml:space="preserve"> PAGEREF _Toc209014374 \h </w:instrText>
                </w:r>
                <w:r>
                  <w:rPr>
                    <w:webHidden/>
                  </w:rPr>
                </w:r>
                <w:r>
                  <w:rPr>
                    <w:webHidden/>
                  </w:rPr>
                  <w:fldChar w:fldCharType="separate"/>
                </w:r>
                <w:r>
                  <w:rPr>
                    <w:webHidden/>
                  </w:rPr>
                  <w:t>16</w:t>
                </w:r>
                <w:r>
                  <w:rPr>
                    <w:webHidden/>
                  </w:rPr>
                  <w:fldChar w:fldCharType="end"/>
                </w:r>
              </w:hyperlink>
            </w:p>
            <w:p w14:paraId="63137CFE" w14:textId="0C7C6CDF" w:rsidR="00B632AC" w:rsidRDefault="00B632AC" w:rsidP="001912B6">
              <w:pPr>
                <w:pStyle w:val="TOC2"/>
                <w:rPr>
                  <w:rFonts w:eastAsiaTheme="minorEastAsia"/>
                  <w:kern w:val="2"/>
                  <w:lang w:eastAsia="en-US"/>
                  <w14:ligatures w14:val="standardContextual"/>
                </w:rPr>
              </w:pPr>
              <w:hyperlink w:anchor="_Toc209014375" w:history="1">
                <w:r w:rsidRPr="006F2931">
                  <w:rPr>
                    <w:rStyle w:val="Hyperlink"/>
                  </w:rPr>
                  <w:t>4.8</w:t>
                </w:r>
                <w:r>
                  <w:rPr>
                    <w:rFonts w:eastAsiaTheme="minorEastAsia"/>
                    <w:kern w:val="2"/>
                    <w:lang w:eastAsia="en-US"/>
                    <w14:ligatures w14:val="standardContextual"/>
                  </w:rPr>
                  <w:tab/>
                </w:r>
                <w:r w:rsidRPr="006F2931">
                  <w:rPr>
                    <w:rStyle w:val="Hyperlink"/>
                  </w:rPr>
                  <w:t>DAILY CRIME LOG</w:t>
                </w:r>
                <w:r>
                  <w:rPr>
                    <w:webHidden/>
                  </w:rPr>
                  <w:tab/>
                </w:r>
                <w:r>
                  <w:rPr>
                    <w:webHidden/>
                  </w:rPr>
                  <w:fldChar w:fldCharType="begin"/>
                </w:r>
                <w:r>
                  <w:rPr>
                    <w:webHidden/>
                  </w:rPr>
                  <w:instrText xml:space="preserve"> PAGEREF _Toc209014375 \h </w:instrText>
                </w:r>
                <w:r>
                  <w:rPr>
                    <w:webHidden/>
                  </w:rPr>
                </w:r>
                <w:r>
                  <w:rPr>
                    <w:webHidden/>
                  </w:rPr>
                  <w:fldChar w:fldCharType="separate"/>
                </w:r>
                <w:r>
                  <w:rPr>
                    <w:webHidden/>
                  </w:rPr>
                  <w:t>17</w:t>
                </w:r>
                <w:r>
                  <w:rPr>
                    <w:webHidden/>
                  </w:rPr>
                  <w:fldChar w:fldCharType="end"/>
                </w:r>
              </w:hyperlink>
            </w:p>
            <w:p w14:paraId="7DAF0159" w14:textId="103FE4E8" w:rsidR="00B632AC" w:rsidRDefault="00B632AC">
              <w:pPr>
                <w:pStyle w:val="TOC1"/>
                <w:tabs>
                  <w:tab w:val="left" w:pos="720"/>
                  <w:tab w:val="right" w:leader="dot" w:pos="10910"/>
                </w:tabs>
                <w:rPr>
                  <w:rFonts w:eastAsiaTheme="minorEastAsia"/>
                  <w:noProof/>
                  <w:color w:val="auto"/>
                  <w:kern w:val="2"/>
                  <w:lang w:eastAsia="en-US"/>
                  <w14:ligatures w14:val="standardContextual"/>
                </w:rPr>
              </w:pPr>
              <w:hyperlink w:anchor="_Toc209014376" w:history="1">
                <w:r w:rsidRPr="006F2931">
                  <w:rPr>
                    <w:rStyle w:val="Hyperlink"/>
                    <w:rFonts w:cstheme="minorHAnsi"/>
                    <w:noProof/>
                  </w:rPr>
                  <w:t>5.0</w:t>
                </w:r>
                <w:r>
                  <w:rPr>
                    <w:rFonts w:eastAsiaTheme="minorEastAsia"/>
                    <w:noProof/>
                    <w:color w:val="auto"/>
                    <w:kern w:val="2"/>
                    <w:lang w:eastAsia="en-US"/>
                    <w14:ligatures w14:val="standardContextual"/>
                  </w:rPr>
                  <w:tab/>
                </w:r>
                <w:r w:rsidRPr="006F2931">
                  <w:rPr>
                    <w:rStyle w:val="Hyperlink"/>
                    <w:rFonts w:cstheme="minorHAnsi"/>
                    <w:noProof/>
                  </w:rPr>
                  <w:t xml:space="preserve"> Missing Student Policy</w:t>
                </w:r>
                <w:r>
                  <w:rPr>
                    <w:noProof/>
                    <w:webHidden/>
                  </w:rPr>
                  <w:tab/>
                </w:r>
                <w:r>
                  <w:rPr>
                    <w:noProof/>
                    <w:webHidden/>
                  </w:rPr>
                  <w:fldChar w:fldCharType="begin"/>
                </w:r>
                <w:r>
                  <w:rPr>
                    <w:noProof/>
                    <w:webHidden/>
                  </w:rPr>
                  <w:instrText xml:space="preserve"> PAGEREF _Toc209014376 \h </w:instrText>
                </w:r>
                <w:r>
                  <w:rPr>
                    <w:noProof/>
                    <w:webHidden/>
                  </w:rPr>
                </w:r>
                <w:r>
                  <w:rPr>
                    <w:noProof/>
                    <w:webHidden/>
                  </w:rPr>
                  <w:fldChar w:fldCharType="separate"/>
                </w:r>
                <w:r>
                  <w:rPr>
                    <w:noProof/>
                    <w:webHidden/>
                  </w:rPr>
                  <w:t>18</w:t>
                </w:r>
                <w:r>
                  <w:rPr>
                    <w:noProof/>
                    <w:webHidden/>
                  </w:rPr>
                  <w:fldChar w:fldCharType="end"/>
                </w:r>
              </w:hyperlink>
            </w:p>
            <w:p w14:paraId="3DD3B4CF" w14:textId="0F8A8EEC" w:rsidR="00B632AC" w:rsidRDefault="00B632AC" w:rsidP="001912B6">
              <w:pPr>
                <w:pStyle w:val="TOC2"/>
                <w:rPr>
                  <w:rFonts w:eastAsiaTheme="minorEastAsia"/>
                  <w:kern w:val="2"/>
                  <w:lang w:eastAsia="en-US"/>
                  <w14:ligatures w14:val="standardContextual"/>
                </w:rPr>
              </w:pPr>
              <w:hyperlink w:anchor="_Toc209014377" w:history="1">
                <w:r w:rsidRPr="006F2931">
                  <w:rPr>
                    <w:rStyle w:val="Hyperlink"/>
                  </w:rPr>
                  <w:t>5.1</w:t>
                </w:r>
                <w:r>
                  <w:rPr>
                    <w:rFonts w:eastAsiaTheme="minorEastAsia"/>
                    <w:kern w:val="2"/>
                    <w:lang w:eastAsia="en-US"/>
                    <w14:ligatures w14:val="standardContextual"/>
                  </w:rPr>
                  <w:tab/>
                </w:r>
                <w:r w:rsidRPr="006F2931">
                  <w:rPr>
                    <w:rStyle w:val="Hyperlink"/>
                  </w:rPr>
                  <w:t>GENERAL POLICY ON MISSING PERSONS</w:t>
                </w:r>
                <w:r>
                  <w:rPr>
                    <w:webHidden/>
                  </w:rPr>
                  <w:tab/>
                </w:r>
                <w:r>
                  <w:rPr>
                    <w:webHidden/>
                  </w:rPr>
                  <w:fldChar w:fldCharType="begin"/>
                </w:r>
                <w:r>
                  <w:rPr>
                    <w:webHidden/>
                  </w:rPr>
                  <w:instrText xml:space="preserve"> PAGEREF _Toc209014377 \h </w:instrText>
                </w:r>
                <w:r>
                  <w:rPr>
                    <w:webHidden/>
                  </w:rPr>
                </w:r>
                <w:r>
                  <w:rPr>
                    <w:webHidden/>
                  </w:rPr>
                  <w:fldChar w:fldCharType="separate"/>
                </w:r>
                <w:r>
                  <w:rPr>
                    <w:webHidden/>
                  </w:rPr>
                  <w:t>18</w:t>
                </w:r>
                <w:r>
                  <w:rPr>
                    <w:webHidden/>
                  </w:rPr>
                  <w:fldChar w:fldCharType="end"/>
                </w:r>
              </w:hyperlink>
            </w:p>
            <w:p w14:paraId="7DCC3E3D" w14:textId="0D57A3D0" w:rsidR="00B632AC" w:rsidRDefault="00B632AC">
              <w:pPr>
                <w:pStyle w:val="TOC1"/>
                <w:tabs>
                  <w:tab w:val="left" w:pos="720"/>
                  <w:tab w:val="right" w:leader="dot" w:pos="10910"/>
                </w:tabs>
                <w:rPr>
                  <w:rFonts w:eastAsiaTheme="minorEastAsia"/>
                  <w:noProof/>
                  <w:color w:val="auto"/>
                  <w:kern w:val="2"/>
                  <w:lang w:eastAsia="en-US"/>
                  <w14:ligatures w14:val="standardContextual"/>
                </w:rPr>
              </w:pPr>
              <w:hyperlink w:anchor="_Toc209014378" w:history="1">
                <w:r w:rsidRPr="006F2931">
                  <w:rPr>
                    <w:rStyle w:val="Hyperlink"/>
                    <w:rFonts w:cstheme="minorHAnsi"/>
                    <w:noProof/>
                  </w:rPr>
                  <w:t>6.0</w:t>
                </w:r>
                <w:r>
                  <w:rPr>
                    <w:rFonts w:eastAsiaTheme="minorEastAsia"/>
                    <w:noProof/>
                    <w:color w:val="auto"/>
                    <w:kern w:val="2"/>
                    <w:lang w:eastAsia="en-US"/>
                    <w14:ligatures w14:val="standardContextual"/>
                  </w:rPr>
                  <w:tab/>
                </w:r>
                <w:r w:rsidRPr="006F2931">
                  <w:rPr>
                    <w:rStyle w:val="Hyperlink"/>
                    <w:rFonts w:cstheme="minorHAnsi"/>
                    <w:noProof/>
                  </w:rPr>
                  <w:t>Crime Prevention and Security Awareness Programs</w:t>
                </w:r>
                <w:r>
                  <w:rPr>
                    <w:noProof/>
                    <w:webHidden/>
                  </w:rPr>
                  <w:tab/>
                </w:r>
                <w:r>
                  <w:rPr>
                    <w:noProof/>
                    <w:webHidden/>
                  </w:rPr>
                  <w:fldChar w:fldCharType="begin"/>
                </w:r>
                <w:r>
                  <w:rPr>
                    <w:noProof/>
                    <w:webHidden/>
                  </w:rPr>
                  <w:instrText xml:space="preserve"> PAGEREF _Toc209014378 \h </w:instrText>
                </w:r>
                <w:r>
                  <w:rPr>
                    <w:noProof/>
                    <w:webHidden/>
                  </w:rPr>
                </w:r>
                <w:r>
                  <w:rPr>
                    <w:noProof/>
                    <w:webHidden/>
                  </w:rPr>
                  <w:fldChar w:fldCharType="separate"/>
                </w:r>
                <w:r>
                  <w:rPr>
                    <w:noProof/>
                    <w:webHidden/>
                  </w:rPr>
                  <w:t>18</w:t>
                </w:r>
                <w:r>
                  <w:rPr>
                    <w:noProof/>
                    <w:webHidden/>
                  </w:rPr>
                  <w:fldChar w:fldCharType="end"/>
                </w:r>
              </w:hyperlink>
            </w:p>
            <w:p w14:paraId="1F7CB095" w14:textId="11F32AB0" w:rsidR="00B632AC" w:rsidRPr="001912B6" w:rsidRDefault="00B632AC" w:rsidP="001912B6">
              <w:pPr>
                <w:pStyle w:val="TOC2"/>
                <w:rPr>
                  <w:rFonts w:eastAsiaTheme="minorEastAsia"/>
                  <w:kern w:val="2"/>
                  <w:lang w:eastAsia="en-US"/>
                  <w14:ligatures w14:val="standardContextual"/>
                </w:rPr>
              </w:pPr>
              <w:hyperlink w:anchor="_Toc209014379" w:history="1">
                <w:r w:rsidRPr="001912B6">
                  <w:rPr>
                    <w:rStyle w:val="Hyperlink"/>
                    <w:color w:val="auto"/>
                  </w:rPr>
                  <w:t>6.1</w:t>
                </w:r>
                <w:r w:rsidRPr="001912B6">
                  <w:rPr>
                    <w:rFonts w:eastAsiaTheme="minorEastAsia"/>
                    <w:kern w:val="2"/>
                    <w:lang w:eastAsia="en-US"/>
                    <w14:ligatures w14:val="standardContextual"/>
                  </w:rPr>
                  <w:tab/>
                </w:r>
                <w:r w:rsidRPr="001912B6">
                  <w:rPr>
                    <w:rStyle w:val="Hyperlink"/>
                    <w:color w:val="auto"/>
                  </w:rPr>
                  <w:t>CAMPUS SAFETY AND SECURITY EDUCATION, PROGRAMMING, AND OTHER EVENTS</w:t>
                </w:r>
                <w:r w:rsidRPr="001912B6">
                  <w:rPr>
                    <w:webHidden/>
                  </w:rPr>
                  <w:tab/>
                </w:r>
                <w:r w:rsidR="00AC213A" w:rsidRPr="001912B6">
                  <w:rPr>
                    <w:webHidden/>
                  </w:rPr>
                  <w:t>……………………………………………………………………………………………………</w:t>
                </w:r>
                <w:r w:rsidR="001912B6" w:rsidRPr="001912B6">
                  <w:rPr>
                    <w:webHidden/>
                  </w:rPr>
                  <w:tab/>
                </w:r>
                <w:r w:rsidR="00AC213A" w:rsidRPr="001912B6">
                  <w:rPr>
                    <w:webHidden/>
                  </w:rPr>
                  <w:t>.</w:t>
                </w:r>
                <w:r w:rsidR="001912B6" w:rsidRPr="001912B6">
                  <w:rPr>
                    <w:webHidden/>
                  </w:rPr>
                  <w:t>.</w:t>
                </w:r>
              </w:hyperlink>
              <w:r w:rsidR="001912B6" w:rsidRPr="001912B6">
                <w:rPr>
                  <w:rStyle w:val="Hyperlink"/>
                  <w:color w:val="auto"/>
                </w:rPr>
                <w:t>19</w:t>
              </w:r>
            </w:p>
            <w:p w14:paraId="0D8F18E0" w14:textId="2C2C0D3A" w:rsidR="00B632AC" w:rsidRDefault="00B632AC" w:rsidP="001912B6">
              <w:pPr>
                <w:pStyle w:val="TOC2"/>
                <w:rPr>
                  <w:rFonts w:eastAsiaTheme="minorEastAsia"/>
                  <w:kern w:val="2"/>
                  <w:lang w:eastAsia="en-US"/>
                  <w14:ligatures w14:val="standardContextual"/>
                </w:rPr>
              </w:pPr>
              <w:hyperlink w:anchor="_Toc209014380" w:history="1">
                <w:r w:rsidRPr="006F2931">
                  <w:rPr>
                    <w:rStyle w:val="Hyperlink"/>
                  </w:rPr>
                  <w:t>6.2</w:t>
                </w:r>
                <w:r>
                  <w:rPr>
                    <w:rFonts w:eastAsiaTheme="minorEastAsia"/>
                    <w:kern w:val="2"/>
                    <w:lang w:eastAsia="en-US"/>
                    <w14:ligatures w14:val="standardContextual"/>
                  </w:rPr>
                  <w:tab/>
                </w:r>
                <w:r w:rsidRPr="006F2931">
                  <w:rPr>
                    <w:rStyle w:val="Hyperlink"/>
                  </w:rPr>
                  <w:t>RESPONSIBILITIES OF THE NHSC COMMUNITY</w:t>
                </w:r>
                <w:r>
                  <w:rPr>
                    <w:webHidden/>
                  </w:rPr>
                  <w:tab/>
                </w:r>
                <w:r>
                  <w:rPr>
                    <w:webHidden/>
                  </w:rPr>
                  <w:fldChar w:fldCharType="begin"/>
                </w:r>
                <w:r>
                  <w:rPr>
                    <w:webHidden/>
                  </w:rPr>
                  <w:instrText xml:space="preserve"> PAGEREF _Toc209014380 \h </w:instrText>
                </w:r>
                <w:r>
                  <w:rPr>
                    <w:webHidden/>
                  </w:rPr>
                </w:r>
                <w:r>
                  <w:rPr>
                    <w:webHidden/>
                  </w:rPr>
                  <w:fldChar w:fldCharType="separate"/>
                </w:r>
                <w:r>
                  <w:rPr>
                    <w:webHidden/>
                  </w:rPr>
                  <w:t>21</w:t>
                </w:r>
                <w:r>
                  <w:rPr>
                    <w:webHidden/>
                  </w:rPr>
                  <w:fldChar w:fldCharType="end"/>
                </w:r>
              </w:hyperlink>
            </w:p>
            <w:p w14:paraId="45BA0D8F" w14:textId="07CB8011" w:rsidR="00B632AC" w:rsidRDefault="00B632AC">
              <w:pPr>
                <w:pStyle w:val="TOC1"/>
                <w:tabs>
                  <w:tab w:val="left" w:pos="720"/>
                  <w:tab w:val="right" w:leader="dot" w:pos="10910"/>
                </w:tabs>
                <w:rPr>
                  <w:rFonts w:eastAsiaTheme="minorEastAsia"/>
                  <w:noProof/>
                  <w:color w:val="auto"/>
                  <w:kern w:val="2"/>
                  <w:lang w:eastAsia="en-US"/>
                  <w14:ligatures w14:val="standardContextual"/>
                </w:rPr>
              </w:pPr>
              <w:hyperlink w:anchor="_Toc209014381" w:history="1">
                <w:r w:rsidRPr="006F2931">
                  <w:rPr>
                    <w:rStyle w:val="Hyperlink"/>
                    <w:rFonts w:cstheme="minorHAnsi"/>
                    <w:noProof/>
                  </w:rPr>
                  <w:t>7.0</w:t>
                </w:r>
                <w:r>
                  <w:rPr>
                    <w:rFonts w:eastAsiaTheme="minorEastAsia"/>
                    <w:noProof/>
                    <w:color w:val="auto"/>
                    <w:kern w:val="2"/>
                    <w:lang w:eastAsia="en-US"/>
                    <w14:ligatures w14:val="standardContextual"/>
                  </w:rPr>
                  <w:tab/>
                </w:r>
                <w:r w:rsidRPr="006F2931">
                  <w:rPr>
                    <w:rStyle w:val="Hyperlink"/>
                    <w:rFonts w:cstheme="minorHAnsi"/>
                    <w:noProof/>
                  </w:rPr>
                  <w:t xml:space="preserve"> Emergency Management</w:t>
                </w:r>
                <w:r>
                  <w:rPr>
                    <w:noProof/>
                    <w:webHidden/>
                  </w:rPr>
                  <w:tab/>
                </w:r>
                <w:r>
                  <w:rPr>
                    <w:noProof/>
                    <w:webHidden/>
                  </w:rPr>
                  <w:fldChar w:fldCharType="begin"/>
                </w:r>
                <w:r>
                  <w:rPr>
                    <w:noProof/>
                    <w:webHidden/>
                  </w:rPr>
                  <w:instrText xml:space="preserve"> PAGEREF _Toc209014381 \h </w:instrText>
                </w:r>
                <w:r>
                  <w:rPr>
                    <w:noProof/>
                    <w:webHidden/>
                  </w:rPr>
                </w:r>
                <w:r>
                  <w:rPr>
                    <w:noProof/>
                    <w:webHidden/>
                  </w:rPr>
                  <w:fldChar w:fldCharType="separate"/>
                </w:r>
                <w:r>
                  <w:rPr>
                    <w:noProof/>
                    <w:webHidden/>
                  </w:rPr>
                  <w:t>22</w:t>
                </w:r>
                <w:r>
                  <w:rPr>
                    <w:noProof/>
                    <w:webHidden/>
                  </w:rPr>
                  <w:fldChar w:fldCharType="end"/>
                </w:r>
              </w:hyperlink>
            </w:p>
            <w:p w14:paraId="0DA70C08" w14:textId="103730FF" w:rsidR="00B632AC" w:rsidRDefault="00B632AC" w:rsidP="001912B6">
              <w:pPr>
                <w:pStyle w:val="TOC2"/>
                <w:rPr>
                  <w:rFonts w:eastAsiaTheme="minorEastAsia"/>
                  <w:kern w:val="2"/>
                  <w:lang w:eastAsia="en-US"/>
                  <w14:ligatures w14:val="standardContextual"/>
                </w:rPr>
              </w:pPr>
              <w:hyperlink w:anchor="_Toc209014382" w:history="1">
                <w:r w:rsidRPr="006F2931">
                  <w:rPr>
                    <w:rStyle w:val="Hyperlink"/>
                  </w:rPr>
                  <w:t>7.1</w:t>
                </w:r>
                <w:r>
                  <w:rPr>
                    <w:rFonts w:eastAsiaTheme="minorEastAsia"/>
                    <w:kern w:val="2"/>
                    <w:lang w:eastAsia="en-US"/>
                    <w14:ligatures w14:val="standardContextual"/>
                  </w:rPr>
                  <w:tab/>
                </w:r>
                <w:r w:rsidRPr="006F2931">
                  <w:rPr>
                    <w:rStyle w:val="Hyperlink"/>
                  </w:rPr>
                  <w:t>EMERGENCY MANAGEMENT RESPONSE AND EVACUATION PROCEDURES</w:t>
                </w:r>
                <w:r>
                  <w:rPr>
                    <w:webHidden/>
                  </w:rPr>
                  <w:tab/>
                </w:r>
                <w:r>
                  <w:rPr>
                    <w:webHidden/>
                  </w:rPr>
                  <w:fldChar w:fldCharType="begin"/>
                </w:r>
                <w:r>
                  <w:rPr>
                    <w:webHidden/>
                  </w:rPr>
                  <w:instrText xml:space="preserve"> PAGEREF _Toc209014382 \h </w:instrText>
                </w:r>
                <w:r>
                  <w:rPr>
                    <w:webHidden/>
                  </w:rPr>
                </w:r>
                <w:r>
                  <w:rPr>
                    <w:webHidden/>
                  </w:rPr>
                  <w:fldChar w:fldCharType="separate"/>
                </w:r>
                <w:r>
                  <w:rPr>
                    <w:webHidden/>
                  </w:rPr>
                  <w:t>23</w:t>
                </w:r>
                <w:r>
                  <w:rPr>
                    <w:webHidden/>
                  </w:rPr>
                  <w:fldChar w:fldCharType="end"/>
                </w:r>
              </w:hyperlink>
            </w:p>
            <w:p w14:paraId="5C8543A8" w14:textId="57558215" w:rsidR="00B632AC" w:rsidRDefault="00B632AC" w:rsidP="001912B6">
              <w:pPr>
                <w:pStyle w:val="TOC2"/>
                <w:rPr>
                  <w:rFonts w:eastAsiaTheme="minorEastAsia"/>
                  <w:kern w:val="2"/>
                  <w:lang w:eastAsia="en-US"/>
                  <w14:ligatures w14:val="standardContextual"/>
                </w:rPr>
              </w:pPr>
              <w:hyperlink w:anchor="_Toc209014383" w:history="1">
                <w:r w:rsidRPr="006F2931">
                  <w:rPr>
                    <w:rStyle w:val="Hyperlink"/>
                  </w:rPr>
                  <w:t>7.2</w:t>
                </w:r>
                <w:r>
                  <w:rPr>
                    <w:rFonts w:eastAsiaTheme="minorEastAsia"/>
                    <w:kern w:val="2"/>
                    <w:lang w:eastAsia="en-US"/>
                    <w14:ligatures w14:val="standardContextual"/>
                  </w:rPr>
                  <w:tab/>
                </w:r>
                <w:r w:rsidRPr="006F2931">
                  <w:rPr>
                    <w:rStyle w:val="Hyperlink"/>
                  </w:rPr>
                  <w:t>EMERGENCY PROCEDURES</w:t>
                </w:r>
                <w:r>
                  <w:rPr>
                    <w:webHidden/>
                  </w:rPr>
                  <w:tab/>
                </w:r>
                <w:r>
                  <w:rPr>
                    <w:webHidden/>
                  </w:rPr>
                  <w:fldChar w:fldCharType="begin"/>
                </w:r>
                <w:r>
                  <w:rPr>
                    <w:webHidden/>
                  </w:rPr>
                  <w:instrText xml:space="preserve"> PAGEREF _Toc209014383 \h </w:instrText>
                </w:r>
                <w:r>
                  <w:rPr>
                    <w:webHidden/>
                  </w:rPr>
                </w:r>
                <w:r>
                  <w:rPr>
                    <w:webHidden/>
                  </w:rPr>
                  <w:fldChar w:fldCharType="separate"/>
                </w:r>
                <w:r>
                  <w:rPr>
                    <w:webHidden/>
                  </w:rPr>
                  <w:t>28</w:t>
                </w:r>
                <w:r>
                  <w:rPr>
                    <w:webHidden/>
                  </w:rPr>
                  <w:fldChar w:fldCharType="end"/>
                </w:r>
              </w:hyperlink>
            </w:p>
            <w:p w14:paraId="7F815912" w14:textId="028EEF21" w:rsidR="00B632AC" w:rsidRDefault="00B632AC" w:rsidP="001912B6">
              <w:pPr>
                <w:pStyle w:val="TOC2"/>
                <w:rPr>
                  <w:rFonts w:eastAsiaTheme="minorEastAsia"/>
                  <w:kern w:val="2"/>
                  <w:lang w:eastAsia="en-US"/>
                  <w14:ligatures w14:val="standardContextual"/>
                </w:rPr>
              </w:pPr>
              <w:hyperlink w:anchor="_Toc209014384" w:history="1">
                <w:r w:rsidRPr="006F2931">
                  <w:rPr>
                    <w:rStyle w:val="Hyperlink"/>
                  </w:rPr>
                  <w:t>7.3</w:t>
                </w:r>
                <w:r>
                  <w:rPr>
                    <w:rFonts w:eastAsiaTheme="minorEastAsia"/>
                    <w:kern w:val="2"/>
                    <w:lang w:eastAsia="en-US"/>
                    <w14:ligatures w14:val="standardContextual"/>
                  </w:rPr>
                  <w:tab/>
                </w:r>
                <w:r w:rsidRPr="006F2931">
                  <w:rPr>
                    <w:rStyle w:val="Hyperlink"/>
                  </w:rPr>
                  <w:t>METHODS OF EMERGENCY COMMUNICATIONS</w:t>
                </w:r>
                <w:r>
                  <w:rPr>
                    <w:webHidden/>
                  </w:rPr>
                  <w:tab/>
                </w:r>
                <w:r>
                  <w:rPr>
                    <w:webHidden/>
                  </w:rPr>
                  <w:fldChar w:fldCharType="begin"/>
                </w:r>
                <w:r>
                  <w:rPr>
                    <w:webHidden/>
                  </w:rPr>
                  <w:instrText xml:space="preserve"> PAGEREF _Toc209014384 \h </w:instrText>
                </w:r>
                <w:r>
                  <w:rPr>
                    <w:webHidden/>
                  </w:rPr>
                </w:r>
                <w:r>
                  <w:rPr>
                    <w:webHidden/>
                  </w:rPr>
                  <w:fldChar w:fldCharType="separate"/>
                </w:r>
                <w:r>
                  <w:rPr>
                    <w:webHidden/>
                  </w:rPr>
                  <w:t>37</w:t>
                </w:r>
                <w:r>
                  <w:rPr>
                    <w:webHidden/>
                  </w:rPr>
                  <w:fldChar w:fldCharType="end"/>
                </w:r>
              </w:hyperlink>
            </w:p>
            <w:p w14:paraId="20430DF6" w14:textId="693678F4" w:rsidR="00B632AC" w:rsidRDefault="00B632AC" w:rsidP="001912B6">
              <w:pPr>
                <w:pStyle w:val="TOC2"/>
                <w:rPr>
                  <w:rFonts w:eastAsiaTheme="minorEastAsia"/>
                  <w:kern w:val="2"/>
                  <w:lang w:eastAsia="en-US"/>
                  <w14:ligatures w14:val="standardContextual"/>
                </w:rPr>
              </w:pPr>
              <w:hyperlink w:anchor="_Toc209014385" w:history="1">
                <w:r w:rsidRPr="006F2931">
                  <w:rPr>
                    <w:rStyle w:val="Hyperlink"/>
                  </w:rPr>
                  <w:t>7.4</w:t>
                </w:r>
                <w:r>
                  <w:rPr>
                    <w:rFonts w:eastAsiaTheme="minorEastAsia"/>
                    <w:kern w:val="2"/>
                    <w:lang w:eastAsia="en-US"/>
                    <w14:ligatures w14:val="standardContextual"/>
                  </w:rPr>
                  <w:tab/>
                </w:r>
                <w:r w:rsidRPr="006F2931">
                  <w:rPr>
                    <w:rStyle w:val="Hyperlink"/>
                  </w:rPr>
                  <w:t>TESTING EMERGENCY RESPONSE AND EVACUATION PROCEDURES</w:t>
                </w:r>
                <w:r>
                  <w:rPr>
                    <w:webHidden/>
                  </w:rPr>
                  <w:tab/>
                </w:r>
                <w:r>
                  <w:rPr>
                    <w:webHidden/>
                  </w:rPr>
                  <w:fldChar w:fldCharType="begin"/>
                </w:r>
                <w:r>
                  <w:rPr>
                    <w:webHidden/>
                  </w:rPr>
                  <w:instrText xml:space="preserve"> PAGEREF _Toc209014385 \h </w:instrText>
                </w:r>
                <w:r>
                  <w:rPr>
                    <w:webHidden/>
                  </w:rPr>
                </w:r>
                <w:r>
                  <w:rPr>
                    <w:webHidden/>
                  </w:rPr>
                  <w:fldChar w:fldCharType="separate"/>
                </w:r>
                <w:r>
                  <w:rPr>
                    <w:webHidden/>
                  </w:rPr>
                  <w:t>37</w:t>
                </w:r>
                <w:r>
                  <w:rPr>
                    <w:webHidden/>
                  </w:rPr>
                  <w:fldChar w:fldCharType="end"/>
                </w:r>
              </w:hyperlink>
            </w:p>
            <w:p w14:paraId="477B6B1C" w14:textId="2FE26F8D" w:rsidR="00B632AC" w:rsidRDefault="00B632AC">
              <w:pPr>
                <w:pStyle w:val="TOC1"/>
                <w:tabs>
                  <w:tab w:val="left" w:pos="720"/>
                  <w:tab w:val="right" w:leader="dot" w:pos="10910"/>
                </w:tabs>
                <w:rPr>
                  <w:rFonts w:eastAsiaTheme="minorEastAsia"/>
                  <w:noProof/>
                  <w:color w:val="auto"/>
                  <w:kern w:val="2"/>
                  <w:lang w:eastAsia="en-US"/>
                  <w14:ligatures w14:val="standardContextual"/>
                </w:rPr>
              </w:pPr>
              <w:hyperlink w:anchor="_Toc209014386" w:history="1">
                <w:r w:rsidRPr="006F2931">
                  <w:rPr>
                    <w:rStyle w:val="Hyperlink"/>
                    <w:rFonts w:cstheme="minorHAnsi"/>
                    <w:noProof/>
                  </w:rPr>
                  <w:t>8.0</w:t>
                </w:r>
                <w:r>
                  <w:rPr>
                    <w:rFonts w:eastAsiaTheme="minorEastAsia"/>
                    <w:noProof/>
                    <w:color w:val="auto"/>
                    <w:kern w:val="2"/>
                    <w:lang w:eastAsia="en-US"/>
                    <w14:ligatures w14:val="standardContextual"/>
                  </w:rPr>
                  <w:tab/>
                </w:r>
                <w:r w:rsidRPr="006F2931">
                  <w:rPr>
                    <w:rStyle w:val="Hyperlink"/>
                    <w:rFonts w:cstheme="minorHAnsi"/>
                    <w:noProof/>
                  </w:rPr>
                  <w:t xml:space="preserve"> Emergency Notifications</w:t>
                </w:r>
                <w:r>
                  <w:rPr>
                    <w:noProof/>
                    <w:webHidden/>
                  </w:rPr>
                  <w:tab/>
                </w:r>
                <w:r>
                  <w:rPr>
                    <w:noProof/>
                    <w:webHidden/>
                  </w:rPr>
                  <w:fldChar w:fldCharType="begin"/>
                </w:r>
                <w:r>
                  <w:rPr>
                    <w:noProof/>
                    <w:webHidden/>
                  </w:rPr>
                  <w:instrText xml:space="preserve"> PAGEREF _Toc209014386 \h </w:instrText>
                </w:r>
                <w:r>
                  <w:rPr>
                    <w:noProof/>
                    <w:webHidden/>
                  </w:rPr>
                </w:r>
                <w:r>
                  <w:rPr>
                    <w:noProof/>
                    <w:webHidden/>
                  </w:rPr>
                  <w:fldChar w:fldCharType="separate"/>
                </w:r>
                <w:r>
                  <w:rPr>
                    <w:noProof/>
                    <w:webHidden/>
                  </w:rPr>
                  <w:t>39</w:t>
                </w:r>
                <w:r>
                  <w:rPr>
                    <w:noProof/>
                    <w:webHidden/>
                  </w:rPr>
                  <w:fldChar w:fldCharType="end"/>
                </w:r>
              </w:hyperlink>
            </w:p>
            <w:p w14:paraId="64C8FBB8" w14:textId="2E712707" w:rsidR="00B632AC" w:rsidRDefault="00B632AC" w:rsidP="001912B6">
              <w:pPr>
                <w:pStyle w:val="TOC2"/>
                <w:rPr>
                  <w:rFonts w:eastAsiaTheme="minorEastAsia"/>
                  <w:kern w:val="2"/>
                  <w:lang w:eastAsia="en-US"/>
                  <w14:ligatures w14:val="standardContextual"/>
                </w:rPr>
              </w:pPr>
              <w:hyperlink w:anchor="_Toc209014387" w:history="1">
                <w:r w:rsidRPr="006F2931">
                  <w:rPr>
                    <w:rStyle w:val="Hyperlink"/>
                  </w:rPr>
                  <w:t>8.1</w:t>
                </w:r>
                <w:r>
                  <w:rPr>
                    <w:rFonts w:eastAsiaTheme="minorEastAsia"/>
                    <w:kern w:val="2"/>
                    <w:lang w:eastAsia="en-US"/>
                    <w14:ligatures w14:val="standardContextual"/>
                  </w:rPr>
                  <w:tab/>
                </w:r>
                <w:r w:rsidR="00881D3F">
                  <w:rPr>
                    <w:rStyle w:val="Hyperlink"/>
                  </w:rPr>
                  <w:t>NHSC</w:t>
                </w:r>
                <w:r w:rsidRPr="006F2931">
                  <w:rPr>
                    <w:rStyle w:val="Hyperlink"/>
                  </w:rPr>
                  <w:t xml:space="preserve"> ALERT SYSTEM REGISTRATION</w:t>
                </w:r>
                <w:r>
                  <w:rPr>
                    <w:webHidden/>
                  </w:rPr>
                  <w:tab/>
                </w:r>
                <w:r>
                  <w:rPr>
                    <w:webHidden/>
                  </w:rPr>
                  <w:fldChar w:fldCharType="begin"/>
                </w:r>
                <w:r>
                  <w:rPr>
                    <w:webHidden/>
                  </w:rPr>
                  <w:instrText xml:space="preserve"> PAGEREF _Toc209014387 \h </w:instrText>
                </w:r>
                <w:r>
                  <w:rPr>
                    <w:webHidden/>
                  </w:rPr>
                </w:r>
                <w:r>
                  <w:rPr>
                    <w:webHidden/>
                  </w:rPr>
                  <w:fldChar w:fldCharType="separate"/>
                </w:r>
                <w:r>
                  <w:rPr>
                    <w:webHidden/>
                  </w:rPr>
                  <w:t>39</w:t>
                </w:r>
                <w:r>
                  <w:rPr>
                    <w:webHidden/>
                  </w:rPr>
                  <w:fldChar w:fldCharType="end"/>
                </w:r>
              </w:hyperlink>
            </w:p>
            <w:p w14:paraId="0D6DA6ED" w14:textId="6AF216E8" w:rsidR="00B632AC" w:rsidRDefault="00B632AC" w:rsidP="001912B6">
              <w:pPr>
                <w:pStyle w:val="TOC2"/>
                <w:rPr>
                  <w:rFonts w:eastAsiaTheme="minorEastAsia"/>
                  <w:kern w:val="2"/>
                  <w:lang w:eastAsia="en-US"/>
                  <w14:ligatures w14:val="standardContextual"/>
                </w:rPr>
              </w:pPr>
              <w:hyperlink w:anchor="_Toc209014388" w:history="1">
                <w:r w:rsidRPr="006F2931">
                  <w:rPr>
                    <w:rStyle w:val="Hyperlink"/>
                  </w:rPr>
                  <w:t>8.2</w:t>
                </w:r>
                <w:r>
                  <w:rPr>
                    <w:rFonts w:eastAsiaTheme="minorEastAsia"/>
                    <w:kern w:val="2"/>
                    <w:lang w:eastAsia="en-US"/>
                    <w14:ligatures w14:val="standardContextual"/>
                  </w:rPr>
                  <w:tab/>
                </w:r>
                <w:r w:rsidRPr="006F2931">
                  <w:rPr>
                    <w:rStyle w:val="Hyperlink"/>
                  </w:rPr>
                  <w:t>EMERGENCY NOTIFICATIONS POLICY AND PROCEDURES</w:t>
                </w:r>
                <w:r>
                  <w:rPr>
                    <w:webHidden/>
                  </w:rPr>
                  <w:tab/>
                </w:r>
                <w:r>
                  <w:rPr>
                    <w:webHidden/>
                  </w:rPr>
                  <w:fldChar w:fldCharType="begin"/>
                </w:r>
                <w:r>
                  <w:rPr>
                    <w:webHidden/>
                  </w:rPr>
                  <w:instrText xml:space="preserve"> PAGEREF _Toc209014388 \h </w:instrText>
                </w:r>
                <w:r>
                  <w:rPr>
                    <w:webHidden/>
                  </w:rPr>
                </w:r>
                <w:r>
                  <w:rPr>
                    <w:webHidden/>
                  </w:rPr>
                  <w:fldChar w:fldCharType="separate"/>
                </w:r>
                <w:r>
                  <w:rPr>
                    <w:webHidden/>
                  </w:rPr>
                  <w:t>39</w:t>
                </w:r>
                <w:r>
                  <w:rPr>
                    <w:webHidden/>
                  </w:rPr>
                  <w:fldChar w:fldCharType="end"/>
                </w:r>
              </w:hyperlink>
            </w:p>
            <w:p w14:paraId="42A986D9" w14:textId="2B1FEC0B" w:rsidR="00B632AC" w:rsidRDefault="00B632AC" w:rsidP="001912B6">
              <w:pPr>
                <w:pStyle w:val="TOC2"/>
                <w:rPr>
                  <w:rFonts w:eastAsiaTheme="minorEastAsia"/>
                  <w:kern w:val="2"/>
                  <w:lang w:eastAsia="en-US"/>
                  <w14:ligatures w14:val="standardContextual"/>
                </w:rPr>
              </w:pPr>
              <w:hyperlink w:anchor="_Toc209014389" w:history="1">
                <w:r w:rsidRPr="006F2931">
                  <w:rPr>
                    <w:rStyle w:val="Hyperlink"/>
                  </w:rPr>
                  <w:t>8.3</w:t>
                </w:r>
                <w:r>
                  <w:rPr>
                    <w:rFonts w:eastAsiaTheme="minorEastAsia"/>
                    <w:kern w:val="2"/>
                    <w:lang w:eastAsia="en-US"/>
                    <w14:ligatures w14:val="standardContextual"/>
                  </w:rPr>
                  <w:tab/>
                </w:r>
                <w:r w:rsidRPr="006F2931">
                  <w:rPr>
                    <w:rStyle w:val="Hyperlink"/>
                  </w:rPr>
                  <w:t>DECISION TO ISSUE AN EMERGENCY NOTIFICATION</w:t>
                </w:r>
                <w:r>
                  <w:rPr>
                    <w:webHidden/>
                  </w:rPr>
                  <w:tab/>
                </w:r>
                <w:r>
                  <w:rPr>
                    <w:webHidden/>
                  </w:rPr>
                  <w:fldChar w:fldCharType="begin"/>
                </w:r>
                <w:r>
                  <w:rPr>
                    <w:webHidden/>
                  </w:rPr>
                  <w:instrText xml:space="preserve"> PAGEREF _Toc209014389 \h </w:instrText>
                </w:r>
                <w:r>
                  <w:rPr>
                    <w:webHidden/>
                  </w:rPr>
                </w:r>
                <w:r>
                  <w:rPr>
                    <w:webHidden/>
                  </w:rPr>
                  <w:fldChar w:fldCharType="separate"/>
                </w:r>
                <w:r>
                  <w:rPr>
                    <w:webHidden/>
                  </w:rPr>
                  <w:t>40</w:t>
                </w:r>
                <w:r>
                  <w:rPr>
                    <w:webHidden/>
                  </w:rPr>
                  <w:fldChar w:fldCharType="end"/>
                </w:r>
              </w:hyperlink>
            </w:p>
            <w:p w14:paraId="7CA707DF" w14:textId="1771F419" w:rsidR="00B632AC" w:rsidRDefault="00B632AC" w:rsidP="001912B6">
              <w:pPr>
                <w:pStyle w:val="TOC2"/>
                <w:rPr>
                  <w:rFonts w:eastAsiaTheme="minorEastAsia"/>
                  <w:kern w:val="2"/>
                  <w:lang w:eastAsia="en-US"/>
                  <w14:ligatures w14:val="standardContextual"/>
                </w:rPr>
              </w:pPr>
              <w:hyperlink w:anchor="_Toc209014390" w:history="1">
                <w:r w:rsidRPr="006F2931">
                  <w:rPr>
                    <w:rStyle w:val="Hyperlink"/>
                  </w:rPr>
                  <w:t>8.4</w:t>
                </w:r>
                <w:r>
                  <w:rPr>
                    <w:rFonts w:eastAsiaTheme="minorEastAsia"/>
                    <w:kern w:val="2"/>
                    <w:lang w:eastAsia="en-US"/>
                    <w14:ligatures w14:val="standardContextual"/>
                  </w:rPr>
                  <w:tab/>
                </w:r>
                <w:r w:rsidRPr="006F2931">
                  <w:rPr>
                    <w:rStyle w:val="Hyperlink"/>
                  </w:rPr>
                  <w:t>ISSUING EMERGENCY NOTIFICATIONS</w:t>
                </w:r>
                <w:r>
                  <w:rPr>
                    <w:webHidden/>
                  </w:rPr>
                  <w:tab/>
                </w:r>
                <w:r>
                  <w:rPr>
                    <w:webHidden/>
                  </w:rPr>
                  <w:fldChar w:fldCharType="begin"/>
                </w:r>
                <w:r>
                  <w:rPr>
                    <w:webHidden/>
                  </w:rPr>
                  <w:instrText xml:space="preserve"> PAGEREF _Toc209014390 \h </w:instrText>
                </w:r>
                <w:r>
                  <w:rPr>
                    <w:webHidden/>
                  </w:rPr>
                </w:r>
                <w:r>
                  <w:rPr>
                    <w:webHidden/>
                  </w:rPr>
                  <w:fldChar w:fldCharType="separate"/>
                </w:r>
                <w:r>
                  <w:rPr>
                    <w:webHidden/>
                  </w:rPr>
                  <w:t>42</w:t>
                </w:r>
                <w:r>
                  <w:rPr>
                    <w:webHidden/>
                  </w:rPr>
                  <w:fldChar w:fldCharType="end"/>
                </w:r>
              </w:hyperlink>
            </w:p>
            <w:p w14:paraId="2EE5FC6F" w14:textId="78DA9B25" w:rsidR="00B632AC" w:rsidRDefault="00B632AC">
              <w:pPr>
                <w:pStyle w:val="TOC1"/>
                <w:tabs>
                  <w:tab w:val="left" w:pos="720"/>
                  <w:tab w:val="right" w:leader="dot" w:pos="10910"/>
                </w:tabs>
                <w:rPr>
                  <w:rFonts w:eastAsiaTheme="minorEastAsia"/>
                  <w:noProof/>
                  <w:color w:val="auto"/>
                  <w:kern w:val="2"/>
                  <w:lang w:eastAsia="en-US"/>
                  <w14:ligatures w14:val="standardContextual"/>
                </w:rPr>
              </w:pPr>
              <w:hyperlink w:anchor="_Toc209014391" w:history="1">
                <w:r w:rsidRPr="006F2931">
                  <w:rPr>
                    <w:rStyle w:val="Hyperlink"/>
                    <w:rFonts w:cstheme="minorHAnsi"/>
                    <w:noProof/>
                  </w:rPr>
                  <w:t xml:space="preserve">9.0 </w:t>
                </w:r>
                <w:r>
                  <w:rPr>
                    <w:rFonts w:eastAsiaTheme="minorEastAsia"/>
                    <w:noProof/>
                    <w:color w:val="auto"/>
                    <w:kern w:val="2"/>
                    <w:lang w:eastAsia="en-US"/>
                    <w14:ligatures w14:val="standardContextual"/>
                  </w:rPr>
                  <w:tab/>
                </w:r>
                <w:r w:rsidRPr="006F2931">
                  <w:rPr>
                    <w:rStyle w:val="Hyperlink"/>
                    <w:rFonts w:cstheme="minorHAnsi"/>
                    <w:noProof/>
                  </w:rPr>
                  <w:t xml:space="preserve"> Timely Warnings</w:t>
                </w:r>
                <w:r>
                  <w:rPr>
                    <w:noProof/>
                    <w:webHidden/>
                  </w:rPr>
                  <w:tab/>
                </w:r>
                <w:r>
                  <w:rPr>
                    <w:noProof/>
                    <w:webHidden/>
                  </w:rPr>
                  <w:fldChar w:fldCharType="begin"/>
                </w:r>
                <w:r>
                  <w:rPr>
                    <w:noProof/>
                    <w:webHidden/>
                  </w:rPr>
                  <w:instrText xml:space="preserve"> PAGEREF _Toc209014391 \h </w:instrText>
                </w:r>
                <w:r>
                  <w:rPr>
                    <w:noProof/>
                    <w:webHidden/>
                  </w:rPr>
                </w:r>
                <w:r>
                  <w:rPr>
                    <w:noProof/>
                    <w:webHidden/>
                  </w:rPr>
                  <w:fldChar w:fldCharType="separate"/>
                </w:r>
                <w:r>
                  <w:rPr>
                    <w:noProof/>
                    <w:webHidden/>
                  </w:rPr>
                  <w:t>43</w:t>
                </w:r>
                <w:r>
                  <w:rPr>
                    <w:noProof/>
                    <w:webHidden/>
                  </w:rPr>
                  <w:fldChar w:fldCharType="end"/>
                </w:r>
              </w:hyperlink>
            </w:p>
            <w:p w14:paraId="48120311" w14:textId="1C3B18D9" w:rsidR="00B632AC" w:rsidRDefault="00B632AC" w:rsidP="001912B6">
              <w:pPr>
                <w:pStyle w:val="TOC2"/>
                <w:rPr>
                  <w:rFonts w:eastAsiaTheme="minorEastAsia"/>
                  <w:kern w:val="2"/>
                  <w:lang w:eastAsia="en-US"/>
                  <w14:ligatures w14:val="standardContextual"/>
                </w:rPr>
              </w:pPr>
              <w:hyperlink w:anchor="_Toc209014392" w:history="1">
                <w:r w:rsidRPr="006F2931">
                  <w:rPr>
                    <w:rStyle w:val="Hyperlink"/>
                  </w:rPr>
                  <w:t>9.1</w:t>
                </w:r>
                <w:r>
                  <w:rPr>
                    <w:rFonts w:eastAsiaTheme="minorEastAsia"/>
                    <w:kern w:val="2"/>
                    <w:lang w:eastAsia="en-US"/>
                    <w14:ligatures w14:val="standardContextual"/>
                  </w:rPr>
                  <w:tab/>
                </w:r>
                <w:r w:rsidRPr="006F2931">
                  <w:rPr>
                    <w:rStyle w:val="Hyperlink"/>
                  </w:rPr>
                  <w:t>TIMELY WARNINGS POLICY AND PROCEDURES</w:t>
                </w:r>
                <w:r>
                  <w:rPr>
                    <w:webHidden/>
                  </w:rPr>
                  <w:tab/>
                </w:r>
                <w:r>
                  <w:rPr>
                    <w:webHidden/>
                  </w:rPr>
                  <w:fldChar w:fldCharType="begin"/>
                </w:r>
                <w:r>
                  <w:rPr>
                    <w:webHidden/>
                  </w:rPr>
                  <w:instrText xml:space="preserve"> PAGEREF _Toc209014392 \h </w:instrText>
                </w:r>
                <w:r>
                  <w:rPr>
                    <w:webHidden/>
                  </w:rPr>
                </w:r>
                <w:r>
                  <w:rPr>
                    <w:webHidden/>
                  </w:rPr>
                  <w:fldChar w:fldCharType="separate"/>
                </w:r>
                <w:r>
                  <w:rPr>
                    <w:webHidden/>
                  </w:rPr>
                  <w:t>44</w:t>
                </w:r>
                <w:r>
                  <w:rPr>
                    <w:webHidden/>
                  </w:rPr>
                  <w:fldChar w:fldCharType="end"/>
                </w:r>
              </w:hyperlink>
            </w:p>
            <w:p w14:paraId="760C8DB9" w14:textId="6826E800" w:rsidR="00B632AC" w:rsidRDefault="00B632AC" w:rsidP="001912B6">
              <w:pPr>
                <w:pStyle w:val="TOC2"/>
                <w:rPr>
                  <w:rFonts w:eastAsiaTheme="minorEastAsia"/>
                  <w:kern w:val="2"/>
                  <w:lang w:eastAsia="en-US"/>
                  <w14:ligatures w14:val="standardContextual"/>
                </w:rPr>
              </w:pPr>
              <w:hyperlink w:anchor="_Toc209014393" w:history="1">
                <w:r w:rsidRPr="006F2931">
                  <w:rPr>
                    <w:rStyle w:val="Hyperlink"/>
                  </w:rPr>
                  <w:t>9.2</w:t>
                </w:r>
                <w:r>
                  <w:rPr>
                    <w:rFonts w:eastAsiaTheme="minorEastAsia"/>
                    <w:kern w:val="2"/>
                    <w:lang w:eastAsia="en-US"/>
                    <w14:ligatures w14:val="standardContextual"/>
                  </w:rPr>
                  <w:tab/>
                </w:r>
                <w:r w:rsidRPr="006F2931">
                  <w:rPr>
                    <w:rStyle w:val="Hyperlink"/>
                  </w:rPr>
                  <w:t>DECISION TO ISSUE A TIMELY WARNING</w:t>
                </w:r>
                <w:r>
                  <w:rPr>
                    <w:webHidden/>
                  </w:rPr>
                  <w:tab/>
                </w:r>
                <w:r>
                  <w:rPr>
                    <w:webHidden/>
                  </w:rPr>
                  <w:fldChar w:fldCharType="begin"/>
                </w:r>
                <w:r>
                  <w:rPr>
                    <w:webHidden/>
                  </w:rPr>
                  <w:instrText xml:space="preserve"> PAGEREF _Toc209014393 \h </w:instrText>
                </w:r>
                <w:r>
                  <w:rPr>
                    <w:webHidden/>
                  </w:rPr>
                </w:r>
                <w:r>
                  <w:rPr>
                    <w:webHidden/>
                  </w:rPr>
                  <w:fldChar w:fldCharType="separate"/>
                </w:r>
                <w:r>
                  <w:rPr>
                    <w:webHidden/>
                  </w:rPr>
                  <w:t>44</w:t>
                </w:r>
                <w:r>
                  <w:rPr>
                    <w:webHidden/>
                  </w:rPr>
                  <w:fldChar w:fldCharType="end"/>
                </w:r>
              </w:hyperlink>
            </w:p>
            <w:p w14:paraId="5AA5D749" w14:textId="738DD0FA" w:rsidR="00B632AC" w:rsidRDefault="00B632AC" w:rsidP="001912B6">
              <w:pPr>
                <w:pStyle w:val="TOC2"/>
                <w:rPr>
                  <w:rFonts w:eastAsiaTheme="minorEastAsia"/>
                  <w:kern w:val="2"/>
                  <w:lang w:eastAsia="en-US"/>
                  <w14:ligatures w14:val="standardContextual"/>
                </w:rPr>
              </w:pPr>
              <w:hyperlink w:anchor="_Toc209014394" w:history="1">
                <w:r w:rsidRPr="006F2931">
                  <w:rPr>
                    <w:rStyle w:val="Hyperlink"/>
                  </w:rPr>
                  <w:t>9.3</w:t>
                </w:r>
                <w:r>
                  <w:rPr>
                    <w:rFonts w:eastAsiaTheme="minorEastAsia"/>
                    <w:kern w:val="2"/>
                    <w:lang w:eastAsia="en-US"/>
                    <w14:ligatures w14:val="standardContextual"/>
                  </w:rPr>
                  <w:tab/>
                </w:r>
                <w:r w:rsidRPr="006F2931">
                  <w:rPr>
                    <w:rStyle w:val="Hyperlink"/>
                  </w:rPr>
                  <w:t>ISSUING TIMELY WARNINGS</w:t>
                </w:r>
                <w:r>
                  <w:rPr>
                    <w:webHidden/>
                  </w:rPr>
                  <w:tab/>
                </w:r>
                <w:r>
                  <w:rPr>
                    <w:webHidden/>
                  </w:rPr>
                  <w:fldChar w:fldCharType="begin"/>
                </w:r>
                <w:r>
                  <w:rPr>
                    <w:webHidden/>
                  </w:rPr>
                  <w:instrText xml:space="preserve"> PAGEREF _Toc209014394 \h </w:instrText>
                </w:r>
                <w:r>
                  <w:rPr>
                    <w:webHidden/>
                  </w:rPr>
                </w:r>
                <w:r>
                  <w:rPr>
                    <w:webHidden/>
                  </w:rPr>
                  <w:fldChar w:fldCharType="separate"/>
                </w:r>
                <w:r>
                  <w:rPr>
                    <w:webHidden/>
                  </w:rPr>
                  <w:t>45</w:t>
                </w:r>
                <w:r>
                  <w:rPr>
                    <w:webHidden/>
                  </w:rPr>
                  <w:fldChar w:fldCharType="end"/>
                </w:r>
              </w:hyperlink>
            </w:p>
            <w:p w14:paraId="2740E6B6" w14:textId="12F0313A" w:rsidR="00B632AC" w:rsidRDefault="00B632AC">
              <w:pPr>
                <w:pStyle w:val="TOC1"/>
                <w:tabs>
                  <w:tab w:val="left" w:pos="720"/>
                  <w:tab w:val="right" w:leader="dot" w:pos="10910"/>
                </w:tabs>
                <w:rPr>
                  <w:rFonts w:eastAsiaTheme="minorEastAsia"/>
                  <w:noProof/>
                  <w:color w:val="auto"/>
                  <w:kern w:val="2"/>
                  <w:lang w:eastAsia="en-US"/>
                  <w14:ligatures w14:val="standardContextual"/>
                </w:rPr>
              </w:pPr>
              <w:hyperlink w:anchor="_Toc209014395" w:history="1">
                <w:r w:rsidRPr="006F2931">
                  <w:rPr>
                    <w:rStyle w:val="Hyperlink"/>
                    <w:rFonts w:cstheme="minorHAnsi"/>
                    <w:noProof/>
                  </w:rPr>
                  <w:t>10.0</w:t>
                </w:r>
                <w:r>
                  <w:rPr>
                    <w:rFonts w:eastAsiaTheme="minorEastAsia"/>
                    <w:noProof/>
                    <w:color w:val="auto"/>
                    <w:kern w:val="2"/>
                    <w:lang w:eastAsia="en-US"/>
                    <w14:ligatures w14:val="standardContextual"/>
                  </w:rPr>
                  <w:tab/>
                </w:r>
                <w:r w:rsidRPr="006F2931">
                  <w:rPr>
                    <w:rStyle w:val="Hyperlink"/>
                    <w:rFonts w:cstheme="minorHAnsi"/>
                    <w:noProof/>
                  </w:rPr>
                  <w:t xml:space="preserve"> Sexual Violence Prevention and Response</w:t>
                </w:r>
                <w:r>
                  <w:rPr>
                    <w:noProof/>
                    <w:webHidden/>
                  </w:rPr>
                  <w:tab/>
                </w:r>
                <w:r>
                  <w:rPr>
                    <w:noProof/>
                    <w:webHidden/>
                  </w:rPr>
                  <w:fldChar w:fldCharType="begin"/>
                </w:r>
                <w:r>
                  <w:rPr>
                    <w:noProof/>
                    <w:webHidden/>
                  </w:rPr>
                  <w:instrText xml:space="preserve"> PAGEREF _Toc209014395 \h </w:instrText>
                </w:r>
                <w:r>
                  <w:rPr>
                    <w:noProof/>
                    <w:webHidden/>
                  </w:rPr>
                </w:r>
                <w:r>
                  <w:rPr>
                    <w:noProof/>
                    <w:webHidden/>
                  </w:rPr>
                  <w:fldChar w:fldCharType="separate"/>
                </w:r>
                <w:r>
                  <w:rPr>
                    <w:noProof/>
                    <w:webHidden/>
                  </w:rPr>
                  <w:t>47</w:t>
                </w:r>
                <w:r>
                  <w:rPr>
                    <w:noProof/>
                    <w:webHidden/>
                  </w:rPr>
                  <w:fldChar w:fldCharType="end"/>
                </w:r>
              </w:hyperlink>
            </w:p>
            <w:p w14:paraId="7FDF89C3" w14:textId="641D5004" w:rsidR="00B632AC" w:rsidRDefault="00B632AC" w:rsidP="001912B6">
              <w:pPr>
                <w:pStyle w:val="TOC2"/>
                <w:rPr>
                  <w:rFonts w:eastAsiaTheme="minorEastAsia"/>
                  <w:kern w:val="2"/>
                  <w:lang w:eastAsia="en-US"/>
                  <w14:ligatures w14:val="standardContextual"/>
                </w:rPr>
              </w:pPr>
              <w:hyperlink w:anchor="_Toc209014396" w:history="1">
                <w:r w:rsidRPr="006F2931">
                  <w:rPr>
                    <w:rStyle w:val="Hyperlink"/>
                  </w:rPr>
                  <w:t>10.1</w:t>
                </w:r>
                <w:r>
                  <w:rPr>
                    <w:rFonts w:eastAsiaTheme="minorEastAsia"/>
                    <w:kern w:val="2"/>
                    <w:lang w:eastAsia="en-US"/>
                    <w14:ligatures w14:val="standardContextual"/>
                  </w:rPr>
                  <w:tab/>
                </w:r>
                <w:r w:rsidRPr="006F2931">
                  <w:rPr>
                    <w:rStyle w:val="Hyperlink"/>
                  </w:rPr>
                  <w:t>DEFINITIONS OF VAWA CRIMES AND OTHER PROHIBITED CONDUCT</w:t>
                </w:r>
                <w:r>
                  <w:rPr>
                    <w:webHidden/>
                  </w:rPr>
                  <w:tab/>
                </w:r>
                <w:r>
                  <w:rPr>
                    <w:webHidden/>
                  </w:rPr>
                  <w:fldChar w:fldCharType="begin"/>
                </w:r>
                <w:r>
                  <w:rPr>
                    <w:webHidden/>
                  </w:rPr>
                  <w:instrText xml:space="preserve"> PAGEREF _Toc209014396 \h </w:instrText>
                </w:r>
                <w:r>
                  <w:rPr>
                    <w:webHidden/>
                  </w:rPr>
                </w:r>
                <w:r>
                  <w:rPr>
                    <w:webHidden/>
                  </w:rPr>
                  <w:fldChar w:fldCharType="separate"/>
                </w:r>
                <w:r>
                  <w:rPr>
                    <w:webHidden/>
                  </w:rPr>
                  <w:t>48</w:t>
                </w:r>
                <w:r>
                  <w:rPr>
                    <w:webHidden/>
                  </w:rPr>
                  <w:fldChar w:fldCharType="end"/>
                </w:r>
              </w:hyperlink>
            </w:p>
            <w:p w14:paraId="3DB50024" w14:textId="6009246C" w:rsidR="00B632AC" w:rsidRDefault="00B632AC" w:rsidP="001912B6">
              <w:pPr>
                <w:pStyle w:val="TOC2"/>
                <w:rPr>
                  <w:rFonts w:eastAsiaTheme="minorEastAsia"/>
                  <w:kern w:val="2"/>
                  <w:lang w:eastAsia="en-US"/>
                  <w14:ligatures w14:val="standardContextual"/>
                </w:rPr>
              </w:pPr>
              <w:hyperlink w:anchor="_Toc209014397" w:history="1">
                <w:r w:rsidRPr="006F2931">
                  <w:rPr>
                    <w:rStyle w:val="Hyperlink"/>
                  </w:rPr>
                  <w:t>10.2</w:t>
                </w:r>
                <w:r>
                  <w:rPr>
                    <w:rFonts w:eastAsiaTheme="minorEastAsia"/>
                    <w:kern w:val="2"/>
                    <w:lang w:eastAsia="en-US"/>
                    <w14:ligatures w14:val="standardContextual"/>
                  </w:rPr>
                  <w:tab/>
                </w:r>
                <w:r w:rsidRPr="006F2931">
                  <w:rPr>
                    <w:rStyle w:val="Hyperlink"/>
                  </w:rPr>
                  <w:t>EDUCATIONAL PROGRAMS AND CAMPAIGNS TO PROMOTE THE AWARENESS AND PREVENTION OF SEXUAL VIOLENCE</w:t>
                </w:r>
                <w:r>
                  <w:rPr>
                    <w:webHidden/>
                  </w:rPr>
                  <w:tab/>
                </w:r>
                <w:r>
                  <w:rPr>
                    <w:webHidden/>
                  </w:rPr>
                  <w:fldChar w:fldCharType="begin"/>
                </w:r>
                <w:r>
                  <w:rPr>
                    <w:webHidden/>
                  </w:rPr>
                  <w:instrText xml:space="preserve"> PAGEREF _Toc209014397 \h </w:instrText>
                </w:r>
                <w:r>
                  <w:rPr>
                    <w:webHidden/>
                  </w:rPr>
                </w:r>
                <w:r>
                  <w:rPr>
                    <w:webHidden/>
                  </w:rPr>
                  <w:fldChar w:fldCharType="separate"/>
                </w:r>
                <w:r>
                  <w:rPr>
                    <w:webHidden/>
                  </w:rPr>
                  <w:t>55</w:t>
                </w:r>
                <w:r>
                  <w:rPr>
                    <w:webHidden/>
                  </w:rPr>
                  <w:fldChar w:fldCharType="end"/>
                </w:r>
              </w:hyperlink>
            </w:p>
            <w:p w14:paraId="63D33A1F" w14:textId="47A78895" w:rsidR="00B632AC" w:rsidRDefault="00B632AC" w:rsidP="001912B6">
              <w:pPr>
                <w:pStyle w:val="TOC2"/>
                <w:rPr>
                  <w:rFonts w:eastAsiaTheme="minorEastAsia"/>
                  <w:kern w:val="2"/>
                  <w:lang w:eastAsia="en-US"/>
                  <w14:ligatures w14:val="standardContextual"/>
                </w:rPr>
              </w:pPr>
              <w:hyperlink w:anchor="_Toc209014398" w:history="1">
                <w:r w:rsidRPr="006F2931">
                  <w:rPr>
                    <w:rStyle w:val="Hyperlink"/>
                  </w:rPr>
                  <w:t>10.3</w:t>
                </w:r>
                <w:r>
                  <w:rPr>
                    <w:rFonts w:eastAsiaTheme="minorEastAsia"/>
                    <w:kern w:val="2"/>
                    <w:lang w:eastAsia="en-US"/>
                    <w14:ligatures w14:val="standardContextual"/>
                  </w:rPr>
                  <w:tab/>
                </w:r>
                <w:r w:rsidRPr="006F2931">
                  <w:rPr>
                    <w:rStyle w:val="Hyperlink"/>
                  </w:rPr>
                  <w:t>IMMEDIATE ASSISTANCE AND PROCEDURES TO FOLLOW FOR VICTIMS OF SEXUAL VIOLENCE</w:t>
                </w:r>
                <w:r>
                  <w:rPr>
                    <w:webHidden/>
                  </w:rPr>
                  <w:tab/>
                </w:r>
                <w:r>
                  <w:rPr>
                    <w:webHidden/>
                  </w:rPr>
                  <w:fldChar w:fldCharType="begin"/>
                </w:r>
                <w:r>
                  <w:rPr>
                    <w:webHidden/>
                  </w:rPr>
                  <w:instrText xml:space="preserve"> PAGEREF _Toc209014398 \h </w:instrText>
                </w:r>
                <w:r>
                  <w:rPr>
                    <w:webHidden/>
                  </w:rPr>
                </w:r>
                <w:r>
                  <w:rPr>
                    <w:webHidden/>
                  </w:rPr>
                  <w:fldChar w:fldCharType="separate"/>
                </w:r>
                <w:r>
                  <w:rPr>
                    <w:webHidden/>
                  </w:rPr>
                  <w:t>64</w:t>
                </w:r>
                <w:r>
                  <w:rPr>
                    <w:webHidden/>
                  </w:rPr>
                  <w:fldChar w:fldCharType="end"/>
                </w:r>
              </w:hyperlink>
            </w:p>
            <w:p w14:paraId="39699752" w14:textId="18C74636" w:rsidR="00B632AC" w:rsidRDefault="00B632AC" w:rsidP="001912B6">
              <w:pPr>
                <w:pStyle w:val="TOC2"/>
                <w:rPr>
                  <w:rFonts w:eastAsiaTheme="minorEastAsia"/>
                  <w:kern w:val="2"/>
                  <w:lang w:eastAsia="en-US"/>
                  <w14:ligatures w14:val="standardContextual"/>
                </w:rPr>
              </w:pPr>
              <w:hyperlink w:anchor="_Toc209014399" w:history="1">
                <w:r w:rsidRPr="006F2931">
                  <w:rPr>
                    <w:rStyle w:val="Hyperlink"/>
                  </w:rPr>
                  <w:t>10.4</w:t>
                </w:r>
                <w:r>
                  <w:rPr>
                    <w:rFonts w:eastAsiaTheme="minorEastAsia"/>
                    <w:kern w:val="2"/>
                    <w:lang w:eastAsia="en-US"/>
                    <w14:ligatures w14:val="standardContextual"/>
                  </w:rPr>
                  <w:tab/>
                </w:r>
                <w:r w:rsidRPr="006F2931">
                  <w:rPr>
                    <w:rStyle w:val="Hyperlink"/>
                  </w:rPr>
                  <w:t>REPORTING OPTIONS</w:t>
                </w:r>
                <w:r>
                  <w:rPr>
                    <w:webHidden/>
                  </w:rPr>
                  <w:tab/>
                </w:r>
                <w:r>
                  <w:rPr>
                    <w:webHidden/>
                  </w:rPr>
                  <w:fldChar w:fldCharType="begin"/>
                </w:r>
                <w:r>
                  <w:rPr>
                    <w:webHidden/>
                  </w:rPr>
                  <w:instrText xml:space="preserve"> PAGEREF _Toc209014399 \h </w:instrText>
                </w:r>
                <w:r>
                  <w:rPr>
                    <w:webHidden/>
                  </w:rPr>
                </w:r>
                <w:r>
                  <w:rPr>
                    <w:webHidden/>
                  </w:rPr>
                  <w:fldChar w:fldCharType="separate"/>
                </w:r>
                <w:r>
                  <w:rPr>
                    <w:webHidden/>
                  </w:rPr>
                  <w:t>66</w:t>
                </w:r>
                <w:r>
                  <w:rPr>
                    <w:webHidden/>
                  </w:rPr>
                  <w:fldChar w:fldCharType="end"/>
                </w:r>
              </w:hyperlink>
            </w:p>
            <w:p w14:paraId="22DEF963" w14:textId="53EA1624" w:rsidR="00B632AC" w:rsidRDefault="00B632AC" w:rsidP="001912B6">
              <w:pPr>
                <w:pStyle w:val="TOC2"/>
                <w:rPr>
                  <w:rFonts w:eastAsiaTheme="minorEastAsia"/>
                  <w:kern w:val="2"/>
                  <w:lang w:eastAsia="en-US"/>
                  <w14:ligatures w14:val="standardContextual"/>
                </w:rPr>
              </w:pPr>
              <w:hyperlink w:anchor="_Toc209014400" w:history="1">
                <w:r w:rsidRPr="006F2931">
                  <w:rPr>
                    <w:rStyle w:val="Hyperlink"/>
                  </w:rPr>
                  <w:t>10.5</w:t>
                </w:r>
                <w:r>
                  <w:rPr>
                    <w:rFonts w:eastAsiaTheme="minorEastAsia"/>
                    <w:kern w:val="2"/>
                    <w:lang w:eastAsia="en-US"/>
                    <w14:ligatures w14:val="standardContextual"/>
                  </w:rPr>
                  <w:tab/>
                </w:r>
                <w:r w:rsidRPr="006F2931">
                  <w:rPr>
                    <w:rStyle w:val="Hyperlink"/>
                  </w:rPr>
                  <w:t>SUPPORTIVE, REMEDIAL, AND OTHER PROTECTIVE MEASURE</w:t>
                </w:r>
                <w:r>
                  <w:rPr>
                    <w:webHidden/>
                  </w:rPr>
                  <w:tab/>
                </w:r>
                <w:r>
                  <w:rPr>
                    <w:webHidden/>
                  </w:rPr>
                  <w:fldChar w:fldCharType="begin"/>
                </w:r>
                <w:r>
                  <w:rPr>
                    <w:webHidden/>
                  </w:rPr>
                  <w:instrText xml:space="preserve"> PAGEREF _Toc209014400 \h </w:instrText>
                </w:r>
                <w:r>
                  <w:rPr>
                    <w:webHidden/>
                  </w:rPr>
                </w:r>
                <w:r>
                  <w:rPr>
                    <w:webHidden/>
                  </w:rPr>
                  <w:fldChar w:fldCharType="separate"/>
                </w:r>
                <w:r>
                  <w:rPr>
                    <w:webHidden/>
                  </w:rPr>
                  <w:t>72</w:t>
                </w:r>
                <w:r>
                  <w:rPr>
                    <w:webHidden/>
                  </w:rPr>
                  <w:fldChar w:fldCharType="end"/>
                </w:r>
              </w:hyperlink>
            </w:p>
            <w:p w14:paraId="5F120136" w14:textId="492B559B" w:rsidR="00B632AC" w:rsidRDefault="00B632AC" w:rsidP="001912B6">
              <w:pPr>
                <w:pStyle w:val="TOC2"/>
                <w:rPr>
                  <w:rFonts w:eastAsiaTheme="minorEastAsia"/>
                  <w:kern w:val="2"/>
                  <w:lang w:eastAsia="en-US"/>
                  <w14:ligatures w14:val="standardContextual"/>
                </w:rPr>
              </w:pPr>
              <w:hyperlink w:anchor="_Toc209014401" w:history="1">
                <w:r w:rsidRPr="006F2931">
                  <w:rPr>
                    <w:rStyle w:val="Hyperlink"/>
                  </w:rPr>
                  <w:t>10.6</w:t>
                </w:r>
                <w:r>
                  <w:rPr>
                    <w:rFonts w:eastAsiaTheme="minorEastAsia"/>
                    <w:kern w:val="2"/>
                    <w:lang w:eastAsia="en-US"/>
                    <w14:ligatures w14:val="standardContextual"/>
                  </w:rPr>
                  <w:tab/>
                </w:r>
                <w:r w:rsidRPr="006F2931">
                  <w:rPr>
                    <w:rStyle w:val="Hyperlink"/>
                  </w:rPr>
                  <w:t>PROTECTING VICTIM CONFIDENTIALITY</w:t>
                </w:r>
                <w:r>
                  <w:rPr>
                    <w:webHidden/>
                  </w:rPr>
                  <w:tab/>
                </w:r>
                <w:r>
                  <w:rPr>
                    <w:webHidden/>
                  </w:rPr>
                  <w:fldChar w:fldCharType="begin"/>
                </w:r>
                <w:r>
                  <w:rPr>
                    <w:webHidden/>
                  </w:rPr>
                  <w:instrText xml:space="preserve"> PAGEREF _Toc209014401 \h </w:instrText>
                </w:r>
                <w:r>
                  <w:rPr>
                    <w:webHidden/>
                  </w:rPr>
                </w:r>
                <w:r>
                  <w:rPr>
                    <w:webHidden/>
                  </w:rPr>
                  <w:fldChar w:fldCharType="separate"/>
                </w:r>
                <w:r>
                  <w:rPr>
                    <w:webHidden/>
                  </w:rPr>
                  <w:t>75</w:t>
                </w:r>
                <w:r>
                  <w:rPr>
                    <w:webHidden/>
                  </w:rPr>
                  <w:fldChar w:fldCharType="end"/>
                </w:r>
              </w:hyperlink>
            </w:p>
            <w:p w14:paraId="50C561F0" w14:textId="30F4A18F" w:rsidR="00B632AC" w:rsidRDefault="00B632AC" w:rsidP="001912B6">
              <w:pPr>
                <w:pStyle w:val="TOC2"/>
                <w:rPr>
                  <w:rFonts w:eastAsiaTheme="minorEastAsia"/>
                  <w:kern w:val="2"/>
                  <w:lang w:eastAsia="en-US"/>
                  <w14:ligatures w14:val="standardContextual"/>
                </w:rPr>
              </w:pPr>
              <w:hyperlink w:anchor="_Toc209014402" w:history="1">
                <w:r w:rsidRPr="006F2931">
                  <w:rPr>
                    <w:rStyle w:val="Hyperlink"/>
                  </w:rPr>
                  <w:t>10.7</w:t>
                </w:r>
                <w:r>
                  <w:rPr>
                    <w:rFonts w:eastAsiaTheme="minorEastAsia"/>
                    <w:kern w:val="2"/>
                    <w:lang w:eastAsia="en-US"/>
                    <w14:ligatures w14:val="standardContextual"/>
                  </w:rPr>
                  <w:tab/>
                </w:r>
                <w:r w:rsidRPr="006F2931">
                  <w:rPr>
                    <w:rStyle w:val="Hyperlink"/>
                  </w:rPr>
                  <w:t>NHSC RESPONSE OVERVIEW</w:t>
                </w:r>
                <w:r>
                  <w:rPr>
                    <w:webHidden/>
                  </w:rPr>
                  <w:tab/>
                </w:r>
                <w:r>
                  <w:rPr>
                    <w:webHidden/>
                  </w:rPr>
                  <w:fldChar w:fldCharType="begin"/>
                </w:r>
                <w:r>
                  <w:rPr>
                    <w:webHidden/>
                  </w:rPr>
                  <w:instrText xml:space="preserve"> PAGEREF _Toc209014402 \h </w:instrText>
                </w:r>
                <w:r>
                  <w:rPr>
                    <w:webHidden/>
                  </w:rPr>
                </w:r>
                <w:r>
                  <w:rPr>
                    <w:webHidden/>
                  </w:rPr>
                  <w:fldChar w:fldCharType="separate"/>
                </w:r>
                <w:r>
                  <w:rPr>
                    <w:webHidden/>
                  </w:rPr>
                  <w:t>78</w:t>
                </w:r>
                <w:r>
                  <w:rPr>
                    <w:webHidden/>
                  </w:rPr>
                  <w:fldChar w:fldCharType="end"/>
                </w:r>
              </w:hyperlink>
            </w:p>
            <w:p w14:paraId="3F4B0E8D" w14:textId="37014C17" w:rsidR="00B632AC" w:rsidRDefault="00B632AC" w:rsidP="001912B6">
              <w:pPr>
                <w:pStyle w:val="TOC2"/>
                <w:rPr>
                  <w:rFonts w:eastAsiaTheme="minorEastAsia"/>
                  <w:kern w:val="2"/>
                  <w:lang w:eastAsia="en-US"/>
                  <w14:ligatures w14:val="standardContextual"/>
                </w:rPr>
              </w:pPr>
              <w:hyperlink w:anchor="_Toc209014403" w:history="1">
                <w:r w:rsidRPr="006F2931">
                  <w:rPr>
                    <w:rStyle w:val="Hyperlink"/>
                  </w:rPr>
                  <w:t>10.8</w:t>
                </w:r>
                <w:r>
                  <w:rPr>
                    <w:rFonts w:eastAsiaTheme="minorEastAsia"/>
                    <w:kern w:val="2"/>
                    <w:lang w:eastAsia="en-US"/>
                    <w14:ligatures w14:val="standardContextual"/>
                  </w:rPr>
                  <w:tab/>
                </w:r>
                <w:r w:rsidRPr="006F2931">
                  <w:rPr>
                    <w:rStyle w:val="Hyperlink"/>
                  </w:rPr>
                  <w:t>RESPONDING TO REPORTS OF SEXUAL VIOLENCE- STUDENT RESPONDENTS</w:t>
                </w:r>
                <w:r>
                  <w:rPr>
                    <w:webHidden/>
                  </w:rPr>
                  <w:tab/>
                </w:r>
                <w:r>
                  <w:rPr>
                    <w:webHidden/>
                  </w:rPr>
                  <w:fldChar w:fldCharType="begin"/>
                </w:r>
                <w:r>
                  <w:rPr>
                    <w:webHidden/>
                  </w:rPr>
                  <w:instrText xml:space="preserve"> PAGEREF _Toc209014403 \h </w:instrText>
                </w:r>
                <w:r>
                  <w:rPr>
                    <w:webHidden/>
                  </w:rPr>
                </w:r>
                <w:r>
                  <w:rPr>
                    <w:webHidden/>
                  </w:rPr>
                  <w:fldChar w:fldCharType="separate"/>
                </w:r>
                <w:r>
                  <w:rPr>
                    <w:webHidden/>
                  </w:rPr>
                  <w:t>82</w:t>
                </w:r>
                <w:r>
                  <w:rPr>
                    <w:webHidden/>
                  </w:rPr>
                  <w:fldChar w:fldCharType="end"/>
                </w:r>
              </w:hyperlink>
            </w:p>
            <w:p w14:paraId="3D7A134F" w14:textId="338861ED" w:rsidR="00B632AC" w:rsidRDefault="00B632AC" w:rsidP="001912B6">
              <w:pPr>
                <w:pStyle w:val="TOC2"/>
                <w:rPr>
                  <w:rFonts w:eastAsiaTheme="minorEastAsia"/>
                  <w:kern w:val="2"/>
                  <w:lang w:eastAsia="en-US"/>
                  <w14:ligatures w14:val="standardContextual"/>
                </w:rPr>
              </w:pPr>
              <w:hyperlink w:anchor="_Toc209014404" w:history="1">
                <w:r w:rsidRPr="006F2931">
                  <w:rPr>
                    <w:rStyle w:val="Hyperlink"/>
                  </w:rPr>
                  <w:t>10.9</w:t>
                </w:r>
                <w:r>
                  <w:rPr>
                    <w:rFonts w:eastAsiaTheme="minorEastAsia"/>
                    <w:kern w:val="2"/>
                    <w:lang w:eastAsia="en-US"/>
                    <w14:ligatures w14:val="standardContextual"/>
                  </w:rPr>
                  <w:tab/>
                </w:r>
                <w:r w:rsidRPr="006F2931">
                  <w:rPr>
                    <w:rStyle w:val="Hyperlink"/>
                  </w:rPr>
                  <w:t>ADJUDICATION AND SANCTIONING – STUDENT RESPONDENTS</w:t>
                </w:r>
                <w:r>
                  <w:rPr>
                    <w:webHidden/>
                  </w:rPr>
                  <w:tab/>
                </w:r>
                <w:r>
                  <w:rPr>
                    <w:webHidden/>
                  </w:rPr>
                  <w:fldChar w:fldCharType="begin"/>
                </w:r>
                <w:r>
                  <w:rPr>
                    <w:webHidden/>
                  </w:rPr>
                  <w:instrText xml:space="preserve"> PAGEREF _Toc209014404 \h </w:instrText>
                </w:r>
                <w:r>
                  <w:rPr>
                    <w:webHidden/>
                  </w:rPr>
                </w:r>
                <w:r>
                  <w:rPr>
                    <w:webHidden/>
                  </w:rPr>
                  <w:fldChar w:fldCharType="separate"/>
                </w:r>
                <w:r>
                  <w:rPr>
                    <w:webHidden/>
                  </w:rPr>
                  <w:t>90</w:t>
                </w:r>
                <w:r>
                  <w:rPr>
                    <w:webHidden/>
                  </w:rPr>
                  <w:fldChar w:fldCharType="end"/>
                </w:r>
              </w:hyperlink>
            </w:p>
            <w:p w14:paraId="0F43A09C" w14:textId="2A9E64C3" w:rsidR="00B632AC" w:rsidRDefault="00B632AC" w:rsidP="001912B6">
              <w:pPr>
                <w:pStyle w:val="TOC2"/>
                <w:rPr>
                  <w:rFonts w:eastAsiaTheme="minorEastAsia"/>
                  <w:kern w:val="2"/>
                  <w:lang w:eastAsia="en-US"/>
                  <w14:ligatures w14:val="standardContextual"/>
                </w:rPr>
              </w:pPr>
              <w:hyperlink w:anchor="_Toc209014405" w:history="1">
                <w:r w:rsidRPr="006F2931">
                  <w:rPr>
                    <w:rStyle w:val="Hyperlink"/>
                  </w:rPr>
                  <w:t>10.10</w:t>
                </w:r>
                <w:r>
                  <w:rPr>
                    <w:rFonts w:eastAsiaTheme="minorEastAsia"/>
                    <w:kern w:val="2"/>
                    <w:lang w:eastAsia="en-US"/>
                    <w14:ligatures w14:val="standardContextual"/>
                  </w:rPr>
                  <w:tab/>
                </w:r>
                <w:r w:rsidRPr="006F2931">
                  <w:rPr>
                    <w:rStyle w:val="Hyperlink"/>
                  </w:rPr>
                  <w:t>RESPONDING TO REPORTS OF SEXUAL VIOLENCE – EMPLOYEE RESPONDENTS</w:t>
                </w:r>
                <w:r>
                  <w:rPr>
                    <w:webHidden/>
                  </w:rPr>
                  <w:tab/>
                </w:r>
                <w:r>
                  <w:rPr>
                    <w:webHidden/>
                  </w:rPr>
                  <w:fldChar w:fldCharType="begin"/>
                </w:r>
                <w:r>
                  <w:rPr>
                    <w:webHidden/>
                  </w:rPr>
                  <w:instrText xml:space="preserve"> PAGEREF _Toc209014405 \h </w:instrText>
                </w:r>
                <w:r>
                  <w:rPr>
                    <w:webHidden/>
                  </w:rPr>
                </w:r>
                <w:r>
                  <w:rPr>
                    <w:webHidden/>
                  </w:rPr>
                  <w:fldChar w:fldCharType="separate"/>
                </w:r>
                <w:r>
                  <w:rPr>
                    <w:webHidden/>
                  </w:rPr>
                  <w:t>97</w:t>
                </w:r>
                <w:r>
                  <w:rPr>
                    <w:webHidden/>
                  </w:rPr>
                  <w:fldChar w:fldCharType="end"/>
                </w:r>
              </w:hyperlink>
            </w:p>
            <w:p w14:paraId="30752B28" w14:textId="391B4098" w:rsidR="00B632AC" w:rsidRDefault="00B632AC" w:rsidP="001912B6">
              <w:pPr>
                <w:pStyle w:val="TOC2"/>
                <w:rPr>
                  <w:rFonts w:eastAsiaTheme="minorEastAsia"/>
                  <w:kern w:val="2"/>
                  <w:lang w:eastAsia="en-US"/>
                  <w14:ligatures w14:val="standardContextual"/>
                </w:rPr>
              </w:pPr>
              <w:hyperlink w:anchor="_Toc209014406" w:history="1">
                <w:r w:rsidRPr="006F2931">
                  <w:rPr>
                    <w:rStyle w:val="Hyperlink"/>
                  </w:rPr>
                  <w:t>10.11</w:t>
                </w:r>
                <w:r>
                  <w:rPr>
                    <w:rFonts w:eastAsiaTheme="minorEastAsia"/>
                    <w:kern w:val="2"/>
                    <w:lang w:eastAsia="en-US"/>
                    <w14:ligatures w14:val="standardContextual"/>
                  </w:rPr>
                  <w:tab/>
                </w:r>
                <w:r w:rsidRPr="006F2931">
                  <w:rPr>
                    <w:rStyle w:val="Hyperlink"/>
                  </w:rPr>
                  <w:t>ADJUDICATION AND SANCTIONING – EMPLOYEE RESPONDENTS</w:t>
                </w:r>
                <w:r>
                  <w:rPr>
                    <w:webHidden/>
                  </w:rPr>
                  <w:tab/>
                </w:r>
                <w:r>
                  <w:rPr>
                    <w:webHidden/>
                  </w:rPr>
                  <w:fldChar w:fldCharType="begin"/>
                </w:r>
                <w:r>
                  <w:rPr>
                    <w:webHidden/>
                  </w:rPr>
                  <w:instrText xml:space="preserve"> PAGEREF _Toc209014406 \h </w:instrText>
                </w:r>
                <w:r>
                  <w:rPr>
                    <w:webHidden/>
                  </w:rPr>
                </w:r>
                <w:r>
                  <w:rPr>
                    <w:webHidden/>
                  </w:rPr>
                  <w:fldChar w:fldCharType="separate"/>
                </w:r>
                <w:r>
                  <w:rPr>
                    <w:webHidden/>
                  </w:rPr>
                  <w:t>105</w:t>
                </w:r>
                <w:r>
                  <w:rPr>
                    <w:webHidden/>
                  </w:rPr>
                  <w:fldChar w:fldCharType="end"/>
                </w:r>
              </w:hyperlink>
            </w:p>
            <w:p w14:paraId="1A057700" w14:textId="71F3F781" w:rsidR="00B632AC" w:rsidRDefault="00B632AC" w:rsidP="001912B6">
              <w:pPr>
                <w:pStyle w:val="TOC2"/>
                <w:rPr>
                  <w:rFonts w:eastAsiaTheme="minorEastAsia"/>
                  <w:kern w:val="2"/>
                  <w:lang w:eastAsia="en-US"/>
                  <w14:ligatures w14:val="standardContextual"/>
                </w:rPr>
              </w:pPr>
              <w:hyperlink w:anchor="_Toc209014407" w:history="1">
                <w:r w:rsidRPr="006F2931">
                  <w:rPr>
                    <w:rStyle w:val="Hyperlink"/>
                  </w:rPr>
                  <w:t>10.12</w:t>
                </w:r>
                <w:r>
                  <w:rPr>
                    <w:rFonts w:eastAsiaTheme="minorEastAsia"/>
                    <w:kern w:val="2"/>
                    <w:lang w:eastAsia="en-US"/>
                    <w14:ligatures w14:val="standardContextual"/>
                  </w:rPr>
                  <w:tab/>
                </w:r>
                <w:r w:rsidRPr="006F2931">
                  <w:rPr>
                    <w:rStyle w:val="Hyperlink"/>
                  </w:rPr>
                  <w:t>COMPREHENSIVE LIST OF RESOURCES</w:t>
                </w:r>
                <w:r>
                  <w:rPr>
                    <w:webHidden/>
                  </w:rPr>
                  <w:tab/>
                </w:r>
                <w:r>
                  <w:rPr>
                    <w:webHidden/>
                  </w:rPr>
                  <w:fldChar w:fldCharType="begin"/>
                </w:r>
                <w:r>
                  <w:rPr>
                    <w:webHidden/>
                  </w:rPr>
                  <w:instrText xml:space="preserve"> PAGEREF _Toc209014407 \h </w:instrText>
                </w:r>
                <w:r>
                  <w:rPr>
                    <w:webHidden/>
                  </w:rPr>
                </w:r>
                <w:r>
                  <w:rPr>
                    <w:webHidden/>
                  </w:rPr>
                  <w:fldChar w:fldCharType="separate"/>
                </w:r>
                <w:r>
                  <w:rPr>
                    <w:webHidden/>
                  </w:rPr>
                  <w:t>116</w:t>
                </w:r>
                <w:r>
                  <w:rPr>
                    <w:webHidden/>
                  </w:rPr>
                  <w:fldChar w:fldCharType="end"/>
                </w:r>
              </w:hyperlink>
            </w:p>
            <w:p w14:paraId="5EB2E9D4" w14:textId="1DAB1816" w:rsidR="00B632AC" w:rsidRDefault="00B632AC">
              <w:pPr>
                <w:pStyle w:val="TOC1"/>
                <w:tabs>
                  <w:tab w:val="left" w:pos="720"/>
                  <w:tab w:val="right" w:leader="dot" w:pos="10910"/>
                </w:tabs>
                <w:rPr>
                  <w:rFonts w:eastAsiaTheme="minorEastAsia"/>
                  <w:noProof/>
                  <w:color w:val="auto"/>
                  <w:kern w:val="2"/>
                  <w:lang w:eastAsia="en-US"/>
                  <w14:ligatures w14:val="standardContextual"/>
                </w:rPr>
              </w:pPr>
              <w:hyperlink w:anchor="_Toc209014408" w:history="1">
                <w:r w:rsidRPr="006F2931">
                  <w:rPr>
                    <w:rStyle w:val="Hyperlink"/>
                    <w:rFonts w:cstheme="minorHAnsi"/>
                    <w:noProof/>
                  </w:rPr>
                  <w:t>11.0</w:t>
                </w:r>
                <w:r>
                  <w:rPr>
                    <w:rFonts w:eastAsiaTheme="minorEastAsia"/>
                    <w:noProof/>
                    <w:color w:val="auto"/>
                    <w:kern w:val="2"/>
                    <w:lang w:eastAsia="en-US"/>
                    <w14:ligatures w14:val="standardContextual"/>
                  </w:rPr>
                  <w:tab/>
                </w:r>
                <w:r w:rsidRPr="006F2931">
                  <w:rPr>
                    <w:rStyle w:val="Hyperlink"/>
                    <w:rFonts w:cstheme="minorHAnsi"/>
                    <w:noProof/>
                  </w:rPr>
                  <w:t xml:space="preserve"> HEOA Victim Notification</w:t>
                </w:r>
                <w:r>
                  <w:rPr>
                    <w:noProof/>
                    <w:webHidden/>
                  </w:rPr>
                  <w:tab/>
                </w:r>
                <w:r>
                  <w:rPr>
                    <w:noProof/>
                    <w:webHidden/>
                  </w:rPr>
                  <w:fldChar w:fldCharType="begin"/>
                </w:r>
                <w:r>
                  <w:rPr>
                    <w:noProof/>
                    <w:webHidden/>
                  </w:rPr>
                  <w:instrText xml:space="preserve"> PAGEREF _Toc209014408 \h </w:instrText>
                </w:r>
                <w:r>
                  <w:rPr>
                    <w:noProof/>
                    <w:webHidden/>
                  </w:rPr>
                </w:r>
                <w:r>
                  <w:rPr>
                    <w:noProof/>
                    <w:webHidden/>
                  </w:rPr>
                  <w:fldChar w:fldCharType="separate"/>
                </w:r>
                <w:r>
                  <w:rPr>
                    <w:noProof/>
                    <w:webHidden/>
                  </w:rPr>
                  <w:t>118</w:t>
                </w:r>
                <w:r>
                  <w:rPr>
                    <w:noProof/>
                    <w:webHidden/>
                  </w:rPr>
                  <w:fldChar w:fldCharType="end"/>
                </w:r>
              </w:hyperlink>
            </w:p>
            <w:p w14:paraId="10C15803" w14:textId="54ED1BB8" w:rsidR="00B632AC" w:rsidRDefault="00B632AC">
              <w:pPr>
                <w:pStyle w:val="TOC1"/>
                <w:tabs>
                  <w:tab w:val="left" w:pos="720"/>
                  <w:tab w:val="right" w:leader="dot" w:pos="10910"/>
                </w:tabs>
                <w:rPr>
                  <w:rFonts w:eastAsiaTheme="minorEastAsia"/>
                  <w:noProof/>
                  <w:color w:val="auto"/>
                  <w:kern w:val="2"/>
                  <w:lang w:eastAsia="en-US"/>
                  <w14:ligatures w14:val="standardContextual"/>
                </w:rPr>
              </w:pPr>
              <w:hyperlink w:anchor="_Toc209014409" w:history="1">
                <w:r w:rsidRPr="006F2931">
                  <w:rPr>
                    <w:rStyle w:val="Hyperlink"/>
                    <w:rFonts w:cstheme="minorHAnsi"/>
                    <w:noProof/>
                  </w:rPr>
                  <w:t>12.0</w:t>
                </w:r>
                <w:r>
                  <w:rPr>
                    <w:rFonts w:eastAsiaTheme="minorEastAsia"/>
                    <w:noProof/>
                    <w:color w:val="auto"/>
                    <w:kern w:val="2"/>
                    <w:lang w:eastAsia="en-US"/>
                    <w14:ligatures w14:val="standardContextual"/>
                  </w:rPr>
                  <w:tab/>
                </w:r>
                <w:r w:rsidRPr="006F2931">
                  <w:rPr>
                    <w:rStyle w:val="Hyperlink"/>
                    <w:rFonts w:cstheme="minorHAnsi"/>
                    <w:noProof/>
                  </w:rPr>
                  <w:t xml:space="preserve"> Registered Sex Offender Information</w:t>
                </w:r>
                <w:r>
                  <w:rPr>
                    <w:noProof/>
                    <w:webHidden/>
                  </w:rPr>
                  <w:tab/>
                </w:r>
                <w:r>
                  <w:rPr>
                    <w:noProof/>
                    <w:webHidden/>
                  </w:rPr>
                  <w:fldChar w:fldCharType="begin"/>
                </w:r>
                <w:r>
                  <w:rPr>
                    <w:noProof/>
                    <w:webHidden/>
                  </w:rPr>
                  <w:instrText xml:space="preserve"> PAGEREF _Toc209014409 \h </w:instrText>
                </w:r>
                <w:r>
                  <w:rPr>
                    <w:noProof/>
                    <w:webHidden/>
                  </w:rPr>
                </w:r>
                <w:r>
                  <w:rPr>
                    <w:noProof/>
                    <w:webHidden/>
                  </w:rPr>
                  <w:fldChar w:fldCharType="separate"/>
                </w:r>
                <w:r>
                  <w:rPr>
                    <w:noProof/>
                    <w:webHidden/>
                  </w:rPr>
                  <w:t>119</w:t>
                </w:r>
                <w:r>
                  <w:rPr>
                    <w:noProof/>
                    <w:webHidden/>
                  </w:rPr>
                  <w:fldChar w:fldCharType="end"/>
                </w:r>
              </w:hyperlink>
            </w:p>
            <w:p w14:paraId="645A3771" w14:textId="5C3BF49C" w:rsidR="00B632AC" w:rsidRDefault="00B632AC" w:rsidP="001912B6">
              <w:pPr>
                <w:pStyle w:val="TOC2"/>
                <w:rPr>
                  <w:rFonts w:eastAsiaTheme="minorEastAsia"/>
                  <w:kern w:val="2"/>
                  <w:lang w:eastAsia="en-US"/>
                  <w14:ligatures w14:val="standardContextual"/>
                </w:rPr>
              </w:pPr>
              <w:hyperlink w:anchor="_Toc209014410" w:history="1">
                <w:r w:rsidRPr="006F2931">
                  <w:rPr>
                    <w:rStyle w:val="Hyperlink"/>
                  </w:rPr>
                  <w:t>12.1</w:t>
                </w:r>
                <w:r>
                  <w:rPr>
                    <w:rFonts w:eastAsiaTheme="minorEastAsia"/>
                    <w:kern w:val="2"/>
                    <w:lang w:eastAsia="en-US"/>
                    <w14:ligatures w14:val="standardContextual"/>
                  </w:rPr>
                  <w:tab/>
                </w:r>
                <w:r w:rsidRPr="006F2931">
                  <w:rPr>
                    <w:rStyle w:val="Hyperlink"/>
                  </w:rPr>
                  <w:t>SEX OFFENDERS REGISTERED IN NORTH DAKOTA</w:t>
                </w:r>
                <w:r>
                  <w:rPr>
                    <w:webHidden/>
                  </w:rPr>
                  <w:tab/>
                </w:r>
                <w:r>
                  <w:rPr>
                    <w:webHidden/>
                  </w:rPr>
                  <w:fldChar w:fldCharType="begin"/>
                </w:r>
                <w:r>
                  <w:rPr>
                    <w:webHidden/>
                  </w:rPr>
                  <w:instrText xml:space="preserve"> PAGEREF _Toc209014410 \h </w:instrText>
                </w:r>
                <w:r>
                  <w:rPr>
                    <w:webHidden/>
                  </w:rPr>
                </w:r>
                <w:r>
                  <w:rPr>
                    <w:webHidden/>
                  </w:rPr>
                  <w:fldChar w:fldCharType="separate"/>
                </w:r>
                <w:r>
                  <w:rPr>
                    <w:webHidden/>
                  </w:rPr>
                  <w:t>119</w:t>
                </w:r>
                <w:r>
                  <w:rPr>
                    <w:webHidden/>
                  </w:rPr>
                  <w:fldChar w:fldCharType="end"/>
                </w:r>
              </w:hyperlink>
            </w:p>
            <w:p w14:paraId="740DC769" w14:textId="164C4907" w:rsidR="00B632AC" w:rsidRDefault="00B632AC" w:rsidP="001912B6">
              <w:pPr>
                <w:pStyle w:val="TOC2"/>
                <w:rPr>
                  <w:rFonts w:eastAsiaTheme="minorEastAsia"/>
                  <w:kern w:val="2"/>
                  <w:lang w:eastAsia="en-US"/>
                  <w14:ligatures w14:val="standardContextual"/>
                </w:rPr>
              </w:pPr>
              <w:hyperlink w:anchor="_Toc209014411" w:history="1">
                <w:r w:rsidRPr="006F2931">
                  <w:rPr>
                    <w:rStyle w:val="Hyperlink"/>
                  </w:rPr>
                  <w:t>12.2</w:t>
                </w:r>
                <w:r>
                  <w:rPr>
                    <w:rFonts w:eastAsiaTheme="minorEastAsia"/>
                    <w:kern w:val="2"/>
                    <w:lang w:eastAsia="en-US"/>
                    <w14:ligatures w14:val="standardContextual"/>
                  </w:rPr>
                  <w:tab/>
                </w:r>
                <w:r w:rsidRPr="006F2931">
                  <w:rPr>
                    <w:rStyle w:val="Hyperlink"/>
                  </w:rPr>
                  <w:t>COLLEGE-SPECIFIC REGISTERED SEX OFFENDER INFORMATION</w:t>
                </w:r>
                <w:r>
                  <w:rPr>
                    <w:webHidden/>
                  </w:rPr>
                  <w:tab/>
                </w:r>
                <w:r>
                  <w:rPr>
                    <w:webHidden/>
                  </w:rPr>
                  <w:fldChar w:fldCharType="begin"/>
                </w:r>
                <w:r>
                  <w:rPr>
                    <w:webHidden/>
                  </w:rPr>
                  <w:instrText xml:space="preserve"> PAGEREF _Toc209014411 \h </w:instrText>
                </w:r>
                <w:r>
                  <w:rPr>
                    <w:webHidden/>
                  </w:rPr>
                </w:r>
                <w:r>
                  <w:rPr>
                    <w:webHidden/>
                  </w:rPr>
                  <w:fldChar w:fldCharType="separate"/>
                </w:r>
                <w:r>
                  <w:rPr>
                    <w:webHidden/>
                  </w:rPr>
                  <w:t>120</w:t>
                </w:r>
                <w:r>
                  <w:rPr>
                    <w:webHidden/>
                  </w:rPr>
                  <w:fldChar w:fldCharType="end"/>
                </w:r>
              </w:hyperlink>
            </w:p>
            <w:p w14:paraId="4FA7ED6C" w14:textId="43E0DECB" w:rsidR="00B632AC" w:rsidRDefault="00B632AC">
              <w:pPr>
                <w:pStyle w:val="TOC1"/>
                <w:tabs>
                  <w:tab w:val="left" w:pos="720"/>
                  <w:tab w:val="right" w:leader="dot" w:pos="10910"/>
                </w:tabs>
                <w:rPr>
                  <w:rFonts w:eastAsiaTheme="minorEastAsia"/>
                  <w:noProof/>
                  <w:color w:val="auto"/>
                  <w:kern w:val="2"/>
                  <w:lang w:eastAsia="en-US"/>
                  <w14:ligatures w14:val="standardContextual"/>
                </w:rPr>
              </w:pPr>
              <w:hyperlink w:anchor="_Toc209014412" w:history="1">
                <w:r w:rsidRPr="006F2931">
                  <w:rPr>
                    <w:rStyle w:val="Hyperlink"/>
                    <w:rFonts w:cstheme="minorHAnsi"/>
                    <w:noProof/>
                  </w:rPr>
                  <w:t>13.0</w:t>
                </w:r>
                <w:r>
                  <w:rPr>
                    <w:rFonts w:eastAsiaTheme="minorEastAsia"/>
                    <w:noProof/>
                    <w:color w:val="auto"/>
                    <w:kern w:val="2"/>
                    <w:lang w:eastAsia="en-US"/>
                    <w14:ligatures w14:val="standardContextual"/>
                  </w:rPr>
                  <w:tab/>
                </w:r>
                <w:r w:rsidRPr="006F2931">
                  <w:rPr>
                    <w:rStyle w:val="Hyperlink"/>
                    <w:rFonts w:cstheme="minorHAnsi"/>
                    <w:noProof/>
                  </w:rPr>
                  <w:t xml:space="preserve"> Campus Facilities Access and Security</w:t>
                </w:r>
                <w:r>
                  <w:rPr>
                    <w:noProof/>
                    <w:webHidden/>
                  </w:rPr>
                  <w:tab/>
                </w:r>
                <w:r>
                  <w:rPr>
                    <w:noProof/>
                    <w:webHidden/>
                  </w:rPr>
                  <w:fldChar w:fldCharType="begin"/>
                </w:r>
                <w:r>
                  <w:rPr>
                    <w:noProof/>
                    <w:webHidden/>
                  </w:rPr>
                  <w:instrText xml:space="preserve"> PAGEREF _Toc209014412 \h </w:instrText>
                </w:r>
                <w:r>
                  <w:rPr>
                    <w:noProof/>
                    <w:webHidden/>
                  </w:rPr>
                </w:r>
                <w:r>
                  <w:rPr>
                    <w:noProof/>
                    <w:webHidden/>
                  </w:rPr>
                  <w:fldChar w:fldCharType="separate"/>
                </w:r>
                <w:r>
                  <w:rPr>
                    <w:noProof/>
                    <w:webHidden/>
                  </w:rPr>
                  <w:t>121</w:t>
                </w:r>
                <w:r>
                  <w:rPr>
                    <w:noProof/>
                    <w:webHidden/>
                  </w:rPr>
                  <w:fldChar w:fldCharType="end"/>
                </w:r>
              </w:hyperlink>
            </w:p>
            <w:p w14:paraId="784C1FD3" w14:textId="5873A0D1" w:rsidR="00B632AC" w:rsidRDefault="00B632AC" w:rsidP="001912B6">
              <w:pPr>
                <w:pStyle w:val="TOC2"/>
                <w:rPr>
                  <w:rFonts w:eastAsiaTheme="minorEastAsia"/>
                  <w:kern w:val="2"/>
                  <w:lang w:eastAsia="en-US"/>
                  <w14:ligatures w14:val="standardContextual"/>
                </w:rPr>
              </w:pPr>
              <w:hyperlink w:anchor="_Toc209014413" w:history="1">
                <w:r w:rsidRPr="006F2931">
                  <w:rPr>
                    <w:rStyle w:val="Hyperlink"/>
                  </w:rPr>
                  <w:t>13.1</w:t>
                </w:r>
                <w:r>
                  <w:rPr>
                    <w:rFonts w:eastAsiaTheme="minorEastAsia"/>
                    <w:kern w:val="2"/>
                    <w:lang w:eastAsia="en-US"/>
                    <w14:ligatures w14:val="standardContextual"/>
                  </w:rPr>
                  <w:tab/>
                </w:r>
                <w:r w:rsidRPr="006F2931">
                  <w:rPr>
                    <w:rStyle w:val="Hyperlink"/>
                  </w:rPr>
                  <w:t>SECURITY OF AN ACCESS TO CAMPUS FACILITIES – ACADEMIC AND OTHER BUILDINGS</w:t>
                </w:r>
                <w:r>
                  <w:rPr>
                    <w:webHidden/>
                  </w:rPr>
                  <w:tab/>
                </w:r>
                <w:r>
                  <w:rPr>
                    <w:webHidden/>
                  </w:rPr>
                  <w:fldChar w:fldCharType="begin"/>
                </w:r>
                <w:r>
                  <w:rPr>
                    <w:webHidden/>
                  </w:rPr>
                  <w:instrText xml:space="preserve"> PAGEREF _Toc209014413 \h </w:instrText>
                </w:r>
                <w:r>
                  <w:rPr>
                    <w:webHidden/>
                  </w:rPr>
                </w:r>
                <w:r>
                  <w:rPr>
                    <w:webHidden/>
                  </w:rPr>
                  <w:fldChar w:fldCharType="separate"/>
                </w:r>
                <w:r>
                  <w:rPr>
                    <w:webHidden/>
                  </w:rPr>
                  <w:t>121</w:t>
                </w:r>
                <w:r>
                  <w:rPr>
                    <w:webHidden/>
                  </w:rPr>
                  <w:fldChar w:fldCharType="end"/>
                </w:r>
              </w:hyperlink>
            </w:p>
            <w:p w14:paraId="1B6DC875" w14:textId="3AC515C0" w:rsidR="00B632AC" w:rsidRDefault="00B632AC" w:rsidP="001912B6">
              <w:pPr>
                <w:pStyle w:val="TOC2"/>
                <w:rPr>
                  <w:rFonts w:eastAsiaTheme="minorEastAsia"/>
                  <w:kern w:val="2"/>
                  <w:lang w:eastAsia="en-US"/>
                  <w14:ligatures w14:val="standardContextual"/>
                </w:rPr>
              </w:pPr>
              <w:hyperlink w:anchor="_Toc209014414" w:history="1">
                <w:r w:rsidRPr="006F2931">
                  <w:rPr>
                    <w:rStyle w:val="Hyperlink"/>
                  </w:rPr>
                  <w:t>13.2</w:t>
                </w:r>
                <w:r>
                  <w:rPr>
                    <w:rFonts w:eastAsiaTheme="minorEastAsia"/>
                    <w:kern w:val="2"/>
                    <w:lang w:eastAsia="en-US"/>
                    <w14:ligatures w14:val="standardContextual"/>
                  </w:rPr>
                  <w:tab/>
                </w:r>
                <w:r w:rsidRPr="006F2931">
                  <w:rPr>
                    <w:rStyle w:val="Hyperlink"/>
                  </w:rPr>
                  <w:t>SECURITY CONSIDERATIONS IN MAINTENANCE OF CAMPUS FACILITIES</w:t>
                </w:r>
                <w:r>
                  <w:rPr>
                    <w:webHidden/>
                  </w:rPr>
                  <w:tab/>
                </w:r>
                <w:r>
                  <w:rPr>
                    <w:webHidden/>
                  </w:rPr>
                  <w:fldChar w:fldCharType="begin"/>
                </w:r>
                <w:r>
                  <w:rPr>
                    <w:webHidden/>
                  </w:rPr>
                  <w:instrText xml:space="preserve"> PAGEREF _Toc209014414 \h </w:instrText>
                </w:r>
                <w:r>
                  <w:rPr>
                    <w:webHidden/>
                  </w:rPr>
                </w:r>
                <w:r>
                  <w:rPr>
                    <w:webHidden/>
                  </w:rPr>
                  <w:fldChar w:fldCharType="separate"/>
                </w:r>
                <w:r>
                  <w:rPr>
                    <w:webHidden/>
                  </w:rPr>
                  <w:t>122</w:t>
                </w:r>
                <w:r>
                  <w:rPr>
                    <w:webHidden/>
                  </w:rPr>
                  <w:fldChar w:fldCharType="end"/>
                </w:r>
              </w:hyperlink>
            </w:p>
            <w:p w14:paraId="5DAFEC12" w14:textId="78C41F62" w:rsidR="00B632AC" w:rsidRDefault="00B632AC">
              <w:pPr>
                <w:pStyle w:val="TOC1"/>
                <w:tabs>
                  <w:tab w:val="left" w:pos="720"/>
                  <w:tab w:val="right" w:leader="dot" w:pos="10910"/>
                </w:tabs>
                <w:rPr>
                  <w:rFonts w:eastAsiaTheme="minorEastAsia"/>
                  <w:noProof/>
                  <w:color w:val="auto"/>
                  <w:kern w:val="2"/>
                  <w:lang w:eastAsia="en-US"/>
                  <w14:ligatures w14:val="standardContextual"/>
                </w:rPr>
              </w:pPr>
              <w:hyperlink w:anchor="_Toc209014415" w:history="1">
                <w:r w:rsidRPr="006F2931">
                  <w:rPr>
                    <w:rStyle w:val="Hyperlink"/>
                    <w:rFonts w:cstheme="minorHAnsi"/>
                    <w:noProof/>
                  </w:rPr>
                  <w:t>14.0</w:t>
                </w:r>
                <w:r>
                  <w:rPr>
                    <w:rFonts w:eastAsiaTheme="minorEastAsia"/>
                    <w:noProof/>
                    <w:color w:val="auto"/>
                    <w:kern w:val="2"/>
                    <w:lang w:eastAsia="en-US"/>
                    <w14:ligatures w14:val="standardContextual"/>
                  </w:rPr>
                  <w:tab/>
                </w:r>
                <w:r w:rsidRPr="006F2931">
                  <w:rPr>
                    <w:rStyle w:val="Hyperlink"/>
                    <w:rFonts w:cstheme="minorHAnsi"/>
                    <w:noProof/>
                  </w:rPr>
                  <w:t xml:space="preserve"> Illegal Weapons</w:t>
                </w:r>
                <w:r>
                  <w:rPr>
                    <w:noProof/>
                    <w:webHidden/>
                  </w:rPr>
                  <w:tab/>
                </w:r>
                <w:r>
                  <w:rPr>
                    <w:noProof/>
                    <w:webHidden/>
                  </w:rPr>
                  <w:fldChar w:fldCharType="begin"/>
                </w:r>
                <w:r>
                  <w:rPr>
                    <w:noProof/>
                    <w:webHidden/>
                  </w:rPr>
                  <w:instrText xml:space="preserve"> PAGEREF _Toc209014415 \h </w:instrText>
                </w:r>
                <w:r>
                  <w:rPr>
                    <w:noProof/>
                    <w:webHidden/>
                  </w:rPr>
                </w:r>
                <w:r>
                  <w:rPr>
                    <w:noProof/>
                    <w:webHidden/>
                  </w:rPr>
                  <w:fldChar w:fldCharType="separate"/>
                </w:r>
                <w:r>
                  <w:rPr>
                    <w:noProof/>
                    <w:webHidden/>
                  </w:rPr>
                  <w:t>123</w:t>
                </w:r>
                <w:r>
                  <w:rPr>
                    <w:noProof/>
                    <w:webHidden/>
                  </w:rPr>
                  <w:fldChar w:fldCharType="end"/>
                </w:r>
              </w:hyperlink>
            </w:p>
            <w:p w14:paraId="410057E3" w14:textId="4E97D4A2" w:rsidR="00B632AC" w:rsidRDefault="00B632AC">
              <w:pPr>
                <w:pStyle w:val="TOC1"/>
                <w:tabs>
                  <w:tab w:val="left" w:pos="720"/>
                  <w:tab w:val="right" w:leader="dot" w:pos="10910"/>
                </w:tabs>
                <w:rPr>
                  <w:rFonts w:eastAsiaTheme="minorEastAsia"/>
                  <w:noProof/>
                  <w:color w:val="auto"/>
                  <w:kern w:val="2"/>
                  <w:lang w:eastAsia="en-US"/>
                  <w14:ligatures w14:val="standardContextual"/>
                </w:rPr>
              </w:pPr>
              <w:hyperlink w:anchor="_Toc209014416" w:history="1">
                <w:r w:rsidRPr="006F2931">
                  <w:rPr>
                    <w:rStyle w:val="Hyperlink"/>
                    <w:rFonts w:cstheme="minorHAnsi"/>
                    <w:noProof/>
                  </w:rPr>
                  <w:t>15.0</w:t>
                </w:r>
                <w:r>
                  <w:rPr>
                    <w:rFonts w:eastAsiaTheme="minorEastAsia"/>
                    <w:noProof/>
                    <w:color w:val="auto"/>
                    <w:kern w:val="2"/>
                    <w:lang w:eastAsia="en-US"/>
                    <w14:ligatures w14:val="standardContextual"/>
                  </w:rPr>
                  <w:tab/>
                </w:r>
                <w:r w:rsidRPr="006F2931">
                  <w:rPr>
                    <w:rStyle w:val="Hyperlink"/>
                    <w:rFonts w:cstheme="minorHAnsi"/>
                    <w:noProof/>
                  </w:rPr>
                  <w:t xml:space="preserve"> Substance Use Policy, Laws, and Sanctions</w:t>
                </w:r>
                <w:r>
                  <w:rPr>
                    <w:noProof/>
                    <w:webHidden/>
                  </w:rPr>
                  <w:tab/>
                </w:r>
                <w:r>
                  <w:rPr>
                    <w:noProof/>
                    <w:webHidden/>
                  </w:rPr>
                  <w:fldChar w:fldCharType="begin"/>
                </w:r>
                <w:r>
                  <w:rPr>
                    <w:noProof/>
                    <w:webHidden/>
                  </w:rPr>
                  <w:instrText xml:space="preserve"> PAGEREF _Toc209014416 \h </w:instrText>
                </w:r>
                <w:r>
                  <w:rPr>
                    <w:noProof/>
                    <w:webHidden/>
                  </w:rPr>
                </w:r>
                <w:r>
                  <w:rPr>
                    <w:noProof/>
                    <w:webHidden/>
                  </w:rPr>
                  <w:fldChar w:fldCharType="separate"/>
                </w:r>
                <w:r>
                  <w:rPr>
                    <w:noProof/>
                    <w:webHidden/>
                  </w:rPr>
                  <w:t>124</w:t>
                </w:r>
                <w:r>
                  <w:rPr>
                    <w:noProof/>
                    <w:webHidden/>
                  </w:rPr>
                  <w:fldChar w:fldCharType="end"/>
                </w:r>
              </w:hyperlink>
            </w:p>
            <w:p w14:paraId="45388824" w14:textId="746DBCD7" w:rsidR="00B632AC" w:rsidRDefault="00B632AC" w:rsidP="001912B6">
              <w:pPr>
                <w:pStyle w:val="TOC2"/>
                <w:rPr>
                  <w:rFonts w:eastAsiaTheme="minorEastAsia"/>
                  <w:kern w:val="2"/>
                  <w:lang w:eastAsia="en-US"/>
                  <w14:ligatures w14:val="standardContextual"/>
                </w:rPr>
              </w:pPr>
              <w:hyperlink w:anchor="_Toc209014417" w:history="1">
                <w:r w:rsidRPr="006F2931">
                  <w:rPr>
                    <w:rStyle w:val="Hyperlink"/>
                  </w:rPr>
                  <w:t>15.1</w:t>
                </w:r>
                <w:r>
                  <w:rPr>
                    <w:rFonts w:eastAsiaTheme="minorEastAsia"/>
                    <w:kern w:val="2"/>
                    <w:lang w:eastAsia="en-US"/>
                    <w14:ligatures w14:val="standardContextual"/>
                  </w:rPr>
                  <w:tab/>
                </w:r>
                <w:r w:rsidRPr="006F2931">
                  <w:rPr>
                    <w:rStyle w:val="Hyperlink"/>
                  </w:rPr>
                  <w:t>COLLEGE SUBSTANCE USE POLICY AND STANDARDS OF CONDUCT</w:t>
                </w:r>
                <w:r>
                  <w:rPr>
                    <w:webHidden/>
                  </w:rPr>
                  <w:tab/>
                </w:r>
                <w:r>
                  <w:rPr>
                    <w:webHidden/>
                  </w:rPr>
                  <w:fldChar w:fldCharType="begin"/>
                </w:r>
                <w:r>
                  <w:rPr>
                    <w:webHidden/>
                  </w:rPr>
                  <w:instrText xml:space="preserve"> PAGEREF _Toc209014417 \h </w:instrText>
                </w:r>
                <w:r>
                  <w:rPr>
                    <w:webHidden/>
                  </w:rPr>
                </w:r>
                <w:r>
                  <w:rPr>
                    <w:webHidden/>
                  </w:rPr>
                  <w:fldChar w:fldCharType="separate"/>
                </w:r>
                <w:r>
                  <w:rPr>
                    <w:webHidden/>
                  </w:rPr>
                  <w:t>124</w:t>
                </w:r>
                <w:r>
                  <w:rPr>
                    <w:webHidden/>
                  </w:rPr>
                  <w:fldChar w:fldCharType="end"/>
                </w:r>
              </w:hyperlink>
            </w:p>
            <w:p w14:paraId="24CB9D67" w14:textId="5F74E2EE" w:rsidR="00B632AC" w:rsidRDefault="00B632AC" w:rsidP="001912B6">
              <w:pPr>
                <w:pStyle w:val="TOC2"/>
                <w:rPr>
                  <w:rFonts w:eastAsiaTheme="minorEastAsia"/>
                  <w:kern w:val="2"/>
                  <w:lang w:eastAsia="en-US"/>
                  <w14:ligatures w14:val="standardContextual"/>
                </w:rPr>
              </w:pPr>
              <w:hyperlink w:anchor="_Toc209014418" w:history="1">
                <w:r w:rsidRPr="006F2931">
                  <w:rPr>
                    <w:rStyle w:val="Hyperlink"/>
                  </w:rPr>
                  <w:t>15.2</w:t>
                </w:r>
                <w:r>
                  <w:rPr>
                    <w:rFonts w:eastAsiaTheme="minorEastAsia"/>
                    <w:kern w:val="2"/>
                    <w:lang w:eastAsia="en-US"/>
                    <w14:ligatures w14:val="standardContextual"/>
                  </w:rPr>
                  <w:tab/>
                </w:r>
                <w:r w:rsidRPr="006F2931">
                  <w:rPr>
                    <w:rStyle w:val="Hyperlink"/>
                  </w:rPr>
                  <w:t>NORTH DAKOTA ALCOHOL AND DRUG LAWS AND SANCTIONS</w:t>
                </w:r>
                <w:r>
                  <w:rPr>
                    <w:webHidden/>
                  </w:rPr>
                  <w:tab/>
                </w:r>
                <w:r>
                  <w:rPr>
                    <w:webHidden/>
                  </w:rPr>
                  <w:fldChar w:fldCharType="begin"/>
                </w:r>
                <w:r>
                  <w:rPr>
                    <w:webHidden/>
                  </w:rPr>
                  <w:instrText xml:space="preserve"> PAGEREF _Toc209014418 \h </w:instrText>
                </w:r>
                <w:r>
                  <w:rPr>
                    <w:webHidden/>
                  </w:rPr>
                </w:r>
                <w:r>
                  <w:rPr>
                    <w:webHidden/>
                  </w:rPr>
                  <w:fldChar w:fldCharType="separate"/>
                </w:r>
                <w:r>
                  <w:rPr>
                    <w:webHidden/>
                  </w:rPr>
                  <w:t>125</w:t>
                </w:r>
                <w:r>
                  <w:rPr>
                    <w:webHidden/>
                  </w:rPr>
                  <w:fldChar w:fldCharType="end"/>
                </w:r>
              </w:hyperlink>
            </w:p>
            <w:p w14:paraId="32624778" w14:textId="0C6850B5" w:rsidR="00B632AC" w:rsidRDefault="00B632AC" w:rsidP="001912B6">
              <w:pPr>
                <w:pStyle w:val="TOC2"/>
                <w:rPr>
                  <w:rFonts w:eastAsiaTheme="minorEastAsia"/>
                  <w:kern w:val="2"/>
                  <w:lang w:eastAsia="en-US"/>
                  <w14:ligatures w14:val="standardContextual"/>
                </w:rPr>
              </w:pPr>
              <w:hyperlink w:anchor="_Toc209014419" w:history="1">
                <w:r w:rsidRPr="006F2931">
                  <w:rPr>
                    <w:rStyle w:val="Hyperlink"/>
                  </w:rPr>
                  <w:t>15.3</w:t>
                </w:r>
                <w:r>
                  <w:rPr>
                    <w:rFonts w:eastAsiaTheme="minorEastAsia"/>
                    <w:kern w:val="2"/>
                    <w:lang w:eastAsia="en-US"/>
                    <w14:ligatures w14:val="standardContextual"/>
                  </w:rPr>
                  <w:tab/>
                </w:r>
                <w:r w:rsidRPr="006F2931">
                  <w:rPr>
                    <w:rStyle w:val="Hyperlink"/>
                  </w:rPr>
                  <w:t>COLLEGE POLICY ON AND ENFORCEMENT OF POSSESSION, USE, AND SALE OF ILLEGAL DRUGS</w:t>
                </w:r>
                <w:r>
                  <w:rPr>
                    <w:webHidden/>
                  </w:rPr>
                  <w:tab/>
                </w:r>
                <w:r>
                  <w:rPr>
                    <w:webHidden/>
                  </w:rPr>
                  <w:fldChar w:fldCharType="begin"/>
                </w:r>
                <w:r>
                  <w:rPr>
                    <w:webHidden/>
                  </w:rPr>
                  <w:instrText xml:space="preserve"> PAGEREF _Toc209014419 \h </w:instrText>
                </w:r>
                <w:r>
                  <w:rPr>
                    <w:webHidden/>
                  </w:rPr>
                </w:r>
                <w:r>
                  <w:rPr>
                    <w:webHidden/>
                  </w:rPr>
                  <w:fldChar w:fldCharType="separate"/>
                </w:r>
                <w:r>
                  <w:rPr>
                    <w:webHidden/>
                  </w:rPr>
                  <w:t>136</w:t>
                </w:r>
                <w:r>
                  <w:rPr>
                    <w:webHidden/>
                  </w:rPr>
                  <w:fldChar w:fldCharType="end"/>
                </w:r>
              </w:hyperlink>
            </w:p>
            <w:p w14:paraId="7F5C9245" w14:textId="525A85AA" w:rsidR="00B632AC" w:rsidRDefault="00B632AC" w:rsidP="001912B6">
              <w:pPr>
                <w:pStyle w:val="TOC2"/>
                <w:rPr>
                  <w:rFonts w:eastAsiaTheme="minorEastAsia"/>
                  <w:kern w:val="2"/>
                  <w:lang w:eastAsia="en-US"/>
                  <w14:ligatures w14:val="standardContextual"/>
                </w:rPr>
              </w:pPr>
              <w:hyperlink w:anchor="_Toc209014420" w:history="1">
                <w:r w:rsidRPr="006F2931">
                  <w:rPr>
                    <w:rStyle w:val="Hyperlink"/>
                  </w:rPr>
                  <w:t>15.4</w:t>
                </w:r>
                <w:r>
                  <w:rPr>
                    <w:rFonts w:eastAsiaTheme="minorEastAsia"/>
                    <w:kern w:val="2"/>
                    <w:lang w:eastAsia="en-US"/>
                    <w14:ligatures w14:val="standardContextual"/>
                  </w:rPr>
                  <w:tab/>
                </w:r>
                <w:r w:rsidRPr="006F2931">
                  <w:rPr>
                    <w:rStyle w:val="Hyperlink"/>
                  </w:rPr>
                  <w:t>COLLEGE POLICY ON AND ENFORCEMENT OF POSSESSION, USE, AND SALE OF ALCOHOLIC BEVERAGES</w:t>
                </w:r>
                <w:r>
                  <w:rPr>
                    <w:webHidden/>
                  </w:rPr>
                  <w:tab/>
                </w:r>
                <w:r>
                  <w:rPr>
                    <w:webHidden/>
                  </w:rPr>
                  <w:fldChar w:fldCharType="begin"/>
                </w:r>
                <w:r>
                  <w:rPr>
                    <w:webHidden/>
                  </w:rPr>
                  <w:instrText xml:space="preserve"> PAGEREF _Toc209014420 \h </w:instrText>
                </w:r>
                <w:r>
                  <w:rPr>
                    <w:webHidden/>
                  </w:rPr>
                </w:r>
                <w:r>
                  <w:rPr>
                    <w:webHidden/>
                  </w:rPr>
                  <w:fldChar w:fldCharType="separate"/>
                </w:r>
                <w:r>
                  <w:rPr>
                    <w:webHidden/>
                  </w:rPr>
                  <w:t>137</w:t>
                </w:r>
                <w:r>
                  <w:rPr>
                    <w:webHidden/>
                  </w:rPr>
                  <w:fldChar w:fldCharType="end"/>
                </w:r>
              </w:hyperlink>
            </w:p>
            <w:p w14:paraId="1D644C71" w14:textId="57402EF1" w:rsidR="00B632AC" w:rsidRDefault="00B632AC" w:rsidP="001912B6">
              <w:pPr>
                <w:pStyle w:val="TOC2"/>
                <w:rPr>
                  <w:rFonts w:eastAsiaTheme="minorEastAsia"/>
                  <w:kern w:val="2"/>
                  <w:lang w:eastAsia="en-US"/>
                  <w14:ligatures w14:val="standardContextual"/>
                </w:rPr>
              </w:pPr>
              <w:hyperlink w:anchor="_Toc209014421" w:history="1">
                <w:r w:rsidRPr="006F2931">
                  <w:rPr>
                    <w:rStyle w:val="Hyperlink"/>
                  </w:rPr>
                  <w:t>15.5</w:t>
                </w:r>
                <w:r>
                  <w:rPr>
                    <w:rFonts w:eastAsiaTheme="minorEastAsia"/>
                    <w:kern w:val="2"/>
                    <w:lang w:eastAsia="en-US"/>
                    <w14:ligatures w14:val="standardContextual"/>
                  </w:rPr>
                  <w:tab/>
                </w:r>
                <w:r w:rsidRPr="006F2931">
                  <w:rPr>
                    <w:rStyle w:val="Hyperlink"/>
                  </w:rPr>
                  <w:t>DRUG AND ALCOHOL ABUSE EDUCATION PROGRAMS AND SUPPORT RESOURCES</w:t>
                </w:r>
                <w:r>
                  <w:rPr>
                    <w:webHidden/>
                  </w:rPr>
                  <w:tab/>
                </w:r>
                <w:r w:rsidR="00E75122">
                  <w:rPr>
                    <w:webHidden/>
                  </w:rPr>
                  <w:t>………………………………………………………………………………………………………..</w:t>
                </w:r>
                <w:r>
                  <w:rPr>
                    <w:webHidden/>
                  </w:rPr>
                  <w:fldChar w:fldCharType="begin"/>
                </w:r>
                <w:r>
                  <w:rPr>
                    <w:webHidden/>
                  </w:rPr>
                  <w:instrText xml:space="preserve"> PAGEREF _Toc209014421 \h </w:instrText>
                </w:r>
                <w:r>
                  <w:rPr>
                    <w:webHidden/>
                  </w:rPr>
                </w:r>
                <w:r>
                  <w:rPr>
                    <w:webHidden/>
                  </w:rPr>
                  <w:fldChar w:fldCharType="separate"/>
                </w:r>
                <w:r>
                  <w:rPr>
                    <w:webHidden/>
                  </w:rPr>
                  <w:t>137</w:t>
                </w:r>
                <w:r>
                  <w:rPr>
                    <w:webHidden/>
                  </w:rPr>
                  <w:fldChar w:fldCharType="end"/>
                </w:r>
              </w:hyperlink>
            </w:p>
            <w:p w14:paraId="2BD549C4" w14:textId="2B794985" w:rsidR="00B632AC" w:rsidRDefault="00B632AC" w:rsidP="001912B6">
              <w:pPr>
                <w:pStyle w:val="TOC2"/>
                <w:rPr>
                  <w:rFonts w:eastAsiaTheme="minorEastAsia"/>
                  <w:kern w:val="2"/>
                  <w:lang w:eastAsia="en-US"/>
                  <w14:ligatures w14:val="standardContextual"/>
                </w:rPr>
              </w:pPr>
              <w:hyperlink w:anchor="_Toc209014422" w:history="1">
                <w:r w:rsidRPr="006F2931">
                  <w:rPr>
                    <w:rStyle w:val="Hyperlink"/>
                  </w:rPr>
                  <w:t>15.6</w:t>
                </w:r>
                <w:r>
                  <w:rPr>
                    <w:rFonts w:eastAsiaTheme="minorEastAsia"/>
                    <w:kern w:val="2"/>
                    <w:lang w:eastAsia="en-US"/>
                    <w14:ligatures w14:val="standardContextual"/>
                  </w:rPr>
                  <w:tab/>
                </w:r>
                <w:r w:rsidRPr="006F2931">
                  <w:rPr>
                    <w:rStyle w:val="Hyperlink"/>
                  </w:rPr>
                  <w:t>Health Risks:</w:t>
                </w:r>
                <w:r>
                  <w:rPr>
                    <w:webHidden/>
                  </w:rPr>
                  <w:tab/>
                </w:r>
                <w:r>
                  <w:rPr>
                    <w:webHidden/>
                  </w:rPr>
                  <w:fldChar w:fldCharType="begin"/>
                </w:r>
                <w:r>
                  <w:rPr>
                    <w:webHidden/>
                  </w:rPr>
                  <w:instrText xml:space="preserve"> PAGEREF _Toc209014422 \h </w:instrText>
                </w:r>
                <w:r>
                  <w:rPr>
                    <w:webHidden/>
                  </w:rPr>
                </w:r>
                <w:r>
                  <w:rPr>
                    <w:webHidden/>
                  </w:rPr>
                  <w:fldChar w:fldCharType="separate"/>
                </w:r>
                <w:r>
                  <w:rPr>
                    <w:webHidden/>
                  </w:rPr>
                  <w:t>139</w:t>
                </w:r>
                <w:r>
                  <w:rPr>
                    <w:webHidden/>
                  </w:rPr>
                  <w:fldChar w:fldCharType="end"/>
                </w:r>
              </w:hyperlink>
            </w:p>
            <w:p w14:paraId="307BBF51" w14:textId="77A84AC0" w:rsidR="00B632AC" w:rsidRDefault="00B632AC">
              <w:pPr>
                <w:pStyle w:val="TOC1"/>
                <w:tabs>
                  <w:tab w:val="left" w:pos="720"/>
                  <w:tab w:val="right" w:leader="dot" w:pos="10910"/>
                </w:tabs>
                <w:rPr>
                  <w:rFonts w:eastAsiaTheme="minorEastAsia"/>
                  <w:noProof/>
                  <w:color w:val="auto"/>
                  <w:kern w:val="2"/>
                  <w:lang w:eastAsia="en-US"/>
                  <w14:ligatures w14:val="standardContextual"/>
                </w:rPr>
              </w:pPr>
              <w:hyperlink w:anchor="_Toc209014423" w:history="1">
                <w:r w:rsidRPr="006F2931">
                  <w:rPr>
                    <w:rStyle w:val="Hyperlink"/>
                    <w:rFonts w:cstheme="minorHAnsi"/>
                    <w:noProof/>
                  </w:rPr>
                  <w:t>16.0</w:t>
                </w:r>
                <w:r>
                  <w:rPr>
                    <w:rFonts w:eastAsiaTheme="minorEastAsia"/>
                    <w:noProof/>
                    <w:color w:val="auto"/>
                    <w:kern w:val="2"/>
                    <w:lang w:eastAsia="en-US"/>
                    <w14:ligatures w14:val="standardContextual"/>
                  </w:rPr>
                  <w:tab/>
                </w:r>
                <w:r w:rsidRPr="006F2931">
                  <w:rPr>
                    <w:rStyle w:val="Hyperlink"/>
                    <w:rFonts w:cstheme="minorHAnsi"/>
                    <w:noProof/>
                  </w:rPr>
                  <w:t xml:space="preserve"> Clery Act Crime Statistics</w:t>
                </w:r>
                <w:r>
                  <w:rPr>
                    <w:noProof/>
                    <w:webHidden/>
                  </w:rPr>
                  <w:tab/>
                </w:r>
                <w:r>
                  <w:rPr>
                    <w:noProof/>
                    <w:webHidden/>
                  </w:rPr>
                  <w:fldChar w:fldCharType="begin"/>
                </w:r>
                <w:r>
                  <w:rPr>
                    <w:noProof/>
                    <w:webHidden/>
                  </w:rPr>
                  <w:instrText xml:space="preserve"> PAGEREF _Toc209014423 \h </w:instrText>
                </w:r>
                <w:r>
                  <w:rPr>
                    <w:noProof/>
                    <w:webHidden/>
                  </w:rPr>
                </w:r>
                <w:r>
                  <w:rPr>
                    <w:noProof/>
                    <w:webHidden/>
                  </w:rPr>
                  <w:fldChar w:fldCharType="separate"/>
                </w:r>
                <w:r>
                  <w:rPr>
                    <w:noProof/>
                    <w:webHidden/>
                  </w:rPr>
                  <w:t>152</w:t>
                </w:r>
                <w:r>
                  <w:rPr>
                    <w:noProof/>
                    <w:webHidden/>
                  </w:rPr>
                  <w:fldChar w:fldCharType="end"/>
                </w:r>
              </w:hyperlink>
            </w:p>
            <w:p w14:paraId="16675B79" w14:textId="15F83B07" w:rsidR="00B632AC" w:rsidRDefault="00B632AC" w:rsidP="001912B6">
              <w:pPr>
                <w:pStyle w:val="TOC2"/>
                <w:rPr>
                  <w:rFonts w:eastAsiaTheme="minorEastAsia"/>
                  <w:kern w:val="2"/>
                  <w:lang w:eastAsia="en-US"/>
                  <w14:ligatures w14:val="standardContextual"/>
                </w:rPr>
              </w:pPr>
              <w:hyperlink w:anchor="_Toc209014424" w:history="1">
                <w:r w:rsidRPr="006F2931">
                  <w:rPr>
                    <w:rStyle w:val="Hyperlink"/>
                  </w:rPr>
                  <w:t>16.1</w:t>
                </w:r>
                <w:r>
                  <w:rPr>
                    <w:rFonts w:eastAsiaTheme="minorEastAsia"/>
                    <w:kern w:val="2"/>
                    <w:lang w:eastAsia="en-US"/>
                    <w14:ligatures w14:val="standardContextual"/>
                  </w:rPr>
                  <w:tab/>
                </w:r>
                <w:r w:rsidRPr="006F2931">
                  <w:rPr>
                    <w:rStyle w:val="Hyperlink"/>
                  </w:rPr>
                  <w:t>CLERY ACT CRIME STATISTICS, SOURCES, AND UNFOUNDED CRIME REPORTS</w:t>
                </w:r>
                <w:r>
                  <w:rPr>
                    <w:webHidden/>
                  </w:rPr>
                  <w:tab/>
                </w:r>
                <w:r>
                  <w:rPr>
                    <w:webHidden/>
                  </w:rPr>
                  <w:fldChar w:fldCharType="begin"/>
                </w:r>
                <w:r>
                  <w:rPr>
                    <w:webHidden/>
                  </w:rPr>
                  <w:instrText xml:space="preserve"> PAGEREF _Toc209014424 \h </w:instrText>
                </w:r>
                <w:r>
                  <w:rPr>
                    <w:webHidden/>
                  </w:rPr>
                </w:r>
                <w:r>
                  <w:rPr>
                    <w:webHidden/>
                  </w:rPr>
                  <w:fldChar w:fldCharType="separate"/>
                </w:r>
                <w:r>
                  <w:rPr>
                    <w:webHidden/>
                  </w:rPr>
                  <w:t>152</w:t>
                </w:r>
                <w:r>
                  <w:rPr>
                    <w:webHidden/>
                  </w:rPr>
                  <w:fldChar w:fldCharType="end"/>
                </w:r>
              </w:hyperlink>
            </w:p>
            <w:p w14:paraId="162CEAA8" w14:textId="01860A0E" w:rsidR="00B632AC" w:rsidRDefault="00B632AC" w:rsidP="001912B6">
              <w:pPr>
                <w:pStyle w:val="TOC2"/>
                <w:rPr>
                  <w:rFonts w:eastAsiaTheme="minorEastAsia"/>
                  <w:kern w:val="2"/>
                  <w:lang w:eastAsia="en-US"/>
                  <w14:ligatures w14:val="standardContextual"/>
                </w:rPr>
              </w:pPr>
              <w:hyperlink w:anchor="_Toc209014425" w:history="1">
                <w:r w:rsidRPr="006F2931">
                  <w:rPr>
                    <w:rStyle w:val="Hyperlink"/>
                  </w:rPr>
                  <w:t>16.2</w:t>
                </w:r>
                <w:r>
                  <w:rPr>
                    <w:rFonts w:eastAsiaTheme="minorEastAsia"/>
                    <w:kern w:val="2"/>
                    <w:lang w:eastAsia="en-US"/>
                    <w14:ligatures w14:val="standardContextual"/>
                  </w:rPr>
                  <w:tab/>
                </w:r>
                <w:r w:rsidRPr="006F2931">
                  <w:rPr>
                    <w:rStyle w:val="Hyperlink"/>
                  </w:rPr>
                  <w:t>CLERY ACT CRIMINAL OFFENSE STATISTICS REPORTING TABLES</w:t>
                </w:r>
                <w:r>
                  <w:rPr>
                    <w:webHidden/>
                  </w:rPr>
                  <w:tab/>
                </w:r>
                <w:r>
                  <w:rPr>
                    <w:webHidden/>
                  </w:rPr>
                  <w:fldChar w:fldCharType="begin"/>
                </w:r>
                <w:r>
                  <w:rPr>
                    <w:webHidden/>
                  </w:rPr>
                  <w:instrText xml:space="preserve"> PAGEREF _Toc209014425 \h </w:instrText>
                </w:r>
                <w:r>
                  <w:rPr>
                    <w:webHidden/>
                  </w:rPr>
                </w:r>
                <w:r>
                  <w:rPr>
                    <w:webHidden/>
                  </w:rPr>
                  <w:fldChar w:fldCharType="separate"/>
                </w:r>
                <w:r>
                  <w:rPr>
                    <w:webHidden/>
                  </w:rPr>
                  <w:t>155</w:t>
                </w:r>
                <w:r>
                  <w:rPr>
                    <w:webHidden/>
                  </w:rPr>
                  <w:fldChar w:fldCharType="end"/>
                </w:r>
              </w:hyperlink>
            </w:p>
            <w:p w14:paraId="5432DD43" w14:textId="3D2B75DA" w:rsidR="00B632AC" w:rsidRDefault="00B632AC" w:rsidP="001912B6">
              <w:pPr>
                <w:pStyle w:val="TOC2"/>
                <w:rPr>
                  <w:rFonts w:eastAsiaTheme="minorEastAsia"/>
                  <w:kern w:val="2"/>
                  <w:lang w:eastAsia="en-US"/>
                  <w14:ligatures w14:val="standardContextual"/>
                </w:rPr>
              </w:pPr>
              <w:hyperlink w:anchor="_Toc209014426" w:history="1">
                <w:r w:rsidRPr="006F2931">
                  <w:rPr>
                    <w:rStyle w:val="Hyperlink"/>
                  </w:rPr>
                  <w:t>16.3</w:t>
                </w:r>
                <w:r>
                  <w:rPr>
                    <w:rFonts w:eastAsiaTheme="minorEastAsia"/>
                    <w:kern w:val="2"/>
                    <w:lang w:eastAsia="en-US"/>
                    <w14:ligatures w14:val="standardContextual"/>
                  </w:rPr>
                  <w:tab/>
                </w:r>
                <w:r w:rsidRPr="006F2931">
                  <w:rPr>
                    <w:rStyle w:val="Hyperlink"/>
                  </w:rPr>
                  <w:t>CLERY ACT GEOGRAPHY</w:t>
                </w:r>
                <w:r>
                  <w:rPr>
                    <w:webHidden/>
                  </w:rPr>
                  <w:tab/>
                </w:r>
                <w:r>
                  <w:rPr>
                    <w:webHidden/>
                  </w:rPr>
                  <w:fldChar w:fldCharType="begin"/>
                </w:r>
                <w:r>
                  <w:rPr>
                    <w:webHidden/>
                  </w:rPr>
                  <w:instrText xml:space="preserve"> PAGEREF _Toc209014426 \h </w:instrText>
                </w:r>
                <w:r>
                  <w:rPr>
                    <w:webHidden/>
                  </w:rPr>
                </w:r>
                <w:r>
                  <w:rPr>
                    <w:webHidden/>
                  </w:rPr>
                  <w:fldChar w:fldCharType="separate"/>
                </w:r>
                <w:r>
                  <w:rPr>
                    <w:webHidden/>
                  </w:rPr>
                  <w:t>157</w:t>
                </w:r>
                <w:r>
                  <w:rPr>
                    <w:webHidden/>
                  </w:rPr>
                  <w:fldChar w:fldCharType="end"/>
                </w:r>
              </w:hyperlink>
            </w:p>
            <w:p w14:paraId="3E5F2FF4" w14:textId="2286780C" w:rsidR="00B632AC" w:rsidRDefault="00B632AC" w:rsidP="001912B6">
              <w:pPr>
                <w:pStyle w:val="TOC2"/>
                <w:rPr>
                  <w:rFonts w:eastAsiaTheme="minorEastAsia"/>
                  <w:kern w:val="2"/>
                  <w:lang w:eastAsia="en-US"/>
                  <w14:ligatures w14:val="standardContextual"/>
                </w:rPr>
              </w:pPr>
              <w:hyperlink w:anchor="_Toc209014427" w:history="1">
                <w:r w:rsidRPr="006F2931">
                  <w:rPr>
                    <w:rStyle w:val="Hyperlink"/>
                  </w:rPr>
                  <w:t>16.4</w:t>
                </w:r>
                <w:r>
                  <w:rPr>
                    <w:rFonts w:eastAsiaTheme="minorEastAsia"/>
                    <w:kern w:val="2"/>
                    <w:lang w:eastAsia="en-US"/>
                    <w14:ligatures w14:val="standardContextual"/>
                  </w:rPr>
                  <w:tab/>
                </w:r>
                <w:r w:rsidRPr="006F2931">
                  <w:rPr>
                    <w:rStyle w:val="Hyperlink"/>
                  </w:rPr>
                  <w:t>CLERY ACT CRIME DEFINITIONS</w:t>
                </w:r>
                <w:r>
                  <w:rPr>
                    <w:webHidden/>
                  </w:rPr>
                  <w:tab/>
                </w:r>
                <w:r>
                  <w:rPr>
                    <w:webHidden/>
                  </w:rPr>
                  <w:fldChar w:fldCharType="begin"/>
                </w:r>
                <w:r>
                  <w:rPr>
                    <w:webHidden/>
                  </w:rPr>
                  <w:instrText xml:space="preserve"> PAGEREF _Toc209014427 \h </w:instrText>
                </w:r>
                <w:r>
                  <w:rPr>
                    <w:webHidden/>
                  </w:rPr>
                </w:r>
                <w:r>
                  <w:rPr>
                    <w:webHidden/>
                  </w:rPr>
                  <w:fldChar w:fldCharType="separate"/>
                </w:r>
                <w:r>
                  <w:rPr>
                    <w:webHidden/>
                  </w:rPr>
                  <w:t>158</w:t>
                </w:r>
                <w:r>
                  <w:rPr>
                    <w:webHidden/>
                  </w:rPr>
                  <w:fldChar w:fldCharType="end"/>
                </w:r>
              </w:hyperlink>
            </w:p>
            <w:p w14:paraId="64BF6A99" w14:textId="03E1171A" w:rsidR="00B632AC" w:rsidRDefault="00B632AC">
              <w:pPr>
                <w:pStyle w:val="TOC1"/>
                <w:tabs>
                  <w:tab w:val="left" w:pos="720"/>
                  <w:tab w:val="right" w:leader="dot" w:pos="10910"/>
                </w:tabs>
                <w:rPr>
                  <w:rFonts w:eastAsiaTheme="minorEastAsia"/>
                  <w:noProof/>
                  <w:color w:val="auto"/>
                  <w:kern w:val="2"/>
                  <w:lang w:eastAsia="en-US"/>
                  <w14:ligatures w14:val="standardContextual"/>
                </w:rPr>
              </w:pPr>
              <w:hyperlink w:anchor="_Toc209014428" w:history="1">
                <w:r w:rsidRPr="006F2931">
                  <w:rPr>
                    <w:rStyle w:val="Hyperlink"/>
                    <w:rFonts w:cstheme="minorHAnsi"/>
                    <w:noProof/>
                  </w:rPr>
                  <w:t>17.0</w:t>
                </w:r>
                <w:r>
                  <w:rPr>
                    <w:rFonts w:eastAsiaTheme="minorEastAsia"/>
                    <w:noProof/>
                    <w:color w:val="auto"/>
                    <w:kern w:val="2"/>
                    <w:lang w:eastAsia="en-US"/>
                    <w14:ligatures w14:val="standardContextual"/>
                  </w:rPr>
                  <w:tab/>
                </w:r>
                <w:r w:rsidRPr="006F2931">
                  <w:rPr>
                    <w:rStyle w:val="Hyperlink"/>
                    <w:rFonts w:cstheme="minorHAnsi"/>
                    <w:noProof/>
                  </w:rPr>
                  <w:t xml:space="preserve"> Definitions and Legal Statutes</w:t>
                </w:r>
                <w:r>
                  <w:rPr>
                    <w:noProof/>
                    <w:webHidden/>
                  </w:rPr>
                  <w:tab/>
                </w:r>
                <w:r>
                  <w:rPr>
                    <w:noProof/>
                    <w:webHidden/>
                  </w:rPr>
                  <w:fldChar w:fldCharType="begin"/>
                </w:r>
                <w:r>
                  <w:rPr>
                    <w:noProof/>
                    <w:webHidden/>
                  </w:rPr>
                  <w:instrText xml:space="preserve"> PAGEREF _Toc209014428 \h </w:instrText>
                </w:r>
                <w:r>
                  <w:rPr>
                    <w:noProof/>
                    <w:webHidden/>
                  </w:rPr>
                </w:r>
                <w:r>
                  <w:rPr>
                    <w:noProof/>
                    <w:webHidden/>
                  </w:rPr>
                  <w:fldChar w:fldCharType="separate"/>
                </w:r>
                <w:r>
                  <w:rPr>
                    <w:noProof/>
                    <w:webHidden/>
                  </w:rPr>
                  <w:t>164</w:t>
                </w:r>
                <w:r>
                  <w:rPr>
                    <w:noProof/>
                    <w:webHidden/>
                  </w:rPr>
                  <w:fldChar w:fldCharType="end"/>
                </w:r>
              </w:hyperlink>
            </w:p>
            <w:p w14:paraId="1E6949F3" w14:textId="4B66206C" w:rsidR="00B632AC" w:rsidRDefault="00B632AC" w:rsidP="001912B6">
              <w:pPr>
                <w:pStyle w:val="TOC2"/>
                <w:rPr>
                  <w:rFonts w:eastAsiaTheme="minorEastAsia"/>
                  <w:kern w:val="2"/>
                  <w:lang w:eastAsia="en-US"/>
                  <w14:ligatures w14:val="standardContextual"/>
                </w:rPr>
              </w:pPr>
              <w:hyperlink w:anchor="_Toc209014429" w:history="1">
                <w:r w:rsidRPr="006F2931">
                  <w:rPr>
                    <w:rStyle w:val="Hyperlink"/>
                  </w:rPr>
                  <w:t>17.1</w:t>
                </w:r>
                <w:r>
                  <w:rPr>
                    <w:rFonts w:eastAsiaTheme="minorEastAsia"/>
                    <w:kern w:val="2"/>
                    <w:lang w:eastAsia="en-US"/>
                    <w14:ligatures w14:val="standardContextual"/>
                  </w:rPr>
                  <w:tab/>
                </w:r>
                <w:r w:rsidRPr="006F2931">
                  <w:rPr>
                    <w:rStyle w:val="Hyperlink"/>
                  </w:rPr>
                  <w:t>OTHER CLERY ACT DEFINED TERMS</w:t>
                </w:r>
                <w:r>
                  <w:rPr>
                    <w:webHidden/>
                  </w:rPr>
                  <w:tab/>
                </w:r>
                <w:r>
                  <w:rPr>
                    <w:webHidden/>
                  </w:rPr>
                  <w:fldChar w:fldCharType="begin"/>
                </w:r>
                <w:r>
                  <w:rPr>
                    <w:webHidden/>
                  </w:rPr>
                  <w:instrText xml:space="preserve"> PAGEREF _Toc209014429 \h </w:instrText>
                </w:r>
                <w:r>
                  <w:rPr>
                    <w:webHidden/>
                  </w:rPr>
                </w:r>
                <w:r>
                  <w:rPr>
                    <w:webHidden/>
                  </w:rPr>
                  <w:fldChar w:fldCharType="separate"/>
                </w:r>
                <w:r>
                  <w:rPr>
                    <w:webHidden/>
                  </w:rPr>
                  <w:t>164</w:t>
                </w:r>
                <w:r>
                  <w:rPr>
                    <w:webHidden/>
                  </w:rPr>
                  <w:fldChar w:fldCharType="end"/>
                </w:r>
              </w:hyperlink>
            </w:p>
            <w:p w14:paraId="4846A500" w14:textId="3B2EA1AE" w:rsidR="00B632AC" w:rsidRDefault="00B632AC" w:rsidP="001912B6">
              <w:pPr>
                <w:pStyle w:val="TOC2"/>
                <w:rPr>
                  <w:rFonts w:eastAsiaTheme="minorEastAsia"/>
                  <w:kern w:val="2"/>
                  <w:lang w:eastAsia="en-US"/>
                  <w14:ligatures w14:val="standardContextual"/>
                </w:rPr>
              </w:pPr>
              <w:hyperlink w:anchor="_Toc209014430" w:history="1">
                <w:r w:rsidRPr="006F2931">
                  <w:rPr>
                    <w:rStyle w:val="Hyperlink"/>
                  </w:rPr>
                  <w:t>17.2</w:t>
                </w:r>
                <w:r>
                  <w:rPr>
                    <w:rFonts w:eastAsiaTheme="minorEastAsia"/>
                    <w:kern w:val="2"/>
                    <w:lang w:eastAsia="en-US"/>
                    <w14:ligatures w14:val="standardContextual"/>
                  </w:rPr>
                  <w:tab/>
                </w:r>
                <w:r w:rsidRPr="006F2931">
                  <w:rPr>
                    <w:rStyle w:val="Hyperlink"/>
                  </w:rPr>
                  <w:t>DEFINITIONS OF VAWA CRIMES</w:t>
                </w:r>
                <w:r>
                  <w:rPr>
                    <w:webHidden/>
                  </w:rPr>
                  <w:tab/>
                </w:r>
                <w:r>
                  <w:rPr>
                    <w:webHidden/>
                  </w:rPr>
                  <w:fldChar w:fldCharType="begin"/>
                </w:r>
                <w:r>
                  <w:rPr>
                    <w:webHidden/>
                  </w:rPr>
                  <w:instrText xml:space="preserve"> PAGEREF _Toc209014430 \h </w:instrText>
                </w:r>
                <w:r>
                  <w:rPr>
                    <w:webHidden/>
                  </w:rPr>
                </w:r>
                <w:r>
                  <w:rPr>
                    <w:webHidden/>
                  </w:rPr>
                  <w:fldChar w:fldCharType="separate"/>
                </w:r>
                <w:r>
                  <w:rPr>
                    <w:webHidden/>
                  </w:rPr>
                  <w:t>168</w:t>
                </w:r>
                <w:r>
                  <w:rPr>
                    <w:webHidden/>
                  </w:rPr>
                  <w:fldChar w:fldCharType="end"/>
                </w:r>
              </w:hyperlink>
            </w:p>
            <w:p w14:paraId="5934D3E7" w14:textId="43028496" w:rsidR="00B632AC" w:rsidRDefault="00B632AC" w:rsidP="001912B6">
              <w:pPr>
                <w:pStyle w:val="TOC2"/>
                <w:rPr>
                  <w:rFonts w:eastAsiaTheme="minorEastAsia"/>
                  <w:kern w:val="2"/>
                  <w:lang w:eastAsia="en-US"/>
                  <w14:ligatures w14:val="standardContextual"/>
                </w:rPr>
              </w:pPr>
              <w:hyperlink w:anchor="_Toc209014431" w:history="1">
                <w:r w:rsidRPr="006F2931">
                  <w:rPr>
                    <w:rStyle w:val="Hyperlink"/>
                  </w:rPr>
                  <w:t>18.0 HAZING Policy</w:t>
                </w:r>
                <w:r>
                  <w:rPr>
                    <w:webHidden/>
                  </w:rPr>
                  <w:tab/>
                </w:r>
                <w:r>
                  <w:rPr>
                    <w:webHidden/>
                  </w:rPr>
                  <w:fldChar w:fldCharType="begin"/>
                </w:r>
                <w:r>
                  <w:rPr>
                    <w:webHidden/>
                  </w:rPr>
                  <w:instrText xml:space="preserve"> PAGEREF _Toc209014431 \h </w:instrText>
                </w:r>
                <w:r>
                  <w:rPr>
                    <w:webHidden/>
                  </w:rPr>
                </w:r>
                <w:r>
                  <w:rPr>
                    <w:webHidden/>
                  </w:rPr>
                  <w:fldChar w:fldCharType="separate"/>
                </w:r>
                <w:r>
                  <w:rPr>
                    <w:webHidden/>
                  </w:rPr>
                  <w:t>170</w:t>
                </w:r>
                <w:r>
                  <w:rPr>
                    <w:webHidden/>
                  </w:rPr>
                  <w:fldChar w:fldCharType="end"/>
                </w:r>
              </w:hyperlink>
            </w:p>
            <w:p w14:paraId="5AB23C21" w14:textId="26DDD8B2" w:rsidR="00B632AC" w:rsidRDefault="00B632AC">
              <w:pPr>
                <w:pStyle w:val="TOC1"/>
                <w:tabs>
                  <w:tab w:val="right" w:leader="dot" w:pos="10910"/>
                </w:tabs>
                <w:rPr>
                  <w:rFonts w:eastAsiaTheme="minorEastAsia"/>
                  <w:noProof/>
                  <w:color w:val="auto"/>
                  <w:kern w:val="2"/>
                  <w:lang w:eastAsia="en-US"/>
                  <w14:ligatures w14:val="standardContextual"/>
                </w:rPr>
              </w:pPr>
              <w:hyperlink w:anchor="_Toc209014432" w:history="1">
                <w:r w:rsidRPr="006F2931">
                  <w:rPr>
                    <w:rStyle w:val="Hyperlink"/>
                    <w:noProof/>
                  </w:rPr>
                  <w:t>Definition of Hazing</w:t>
                </w:r>
                <w:r>
                  <w:rPr>
                    <w:noProof/>
                    <w:webHidden/>
                  </w:rPr>
                  <w:tab/>
                </w:r>
                <w:r>
                  <w:rPr>
                    <w:noProof/>
                    <w:webHidden/>
                  </w:rPr>
                  <w:fldChar w:fldCharType="begin"/>
                </w:r>
                <w:r>
                  <w:rPr>
                    <w:noProof/>
                    <w:webHidden/>
                  </w:rPr>
                  <w:instrText xml:space="preserve"> PAGEREF _Toc209014432 \h </w:instrText>
                </w:r>
                <w:r>
                  <w:rPr>
                    <w:noProof/>
                    <w:webHidden/>
                  </w:rPr>
                </w:r>
                <w:r>
                  <w:rPr>
                    <w:noProof/>
                    <w:webHidden/>
                  </w:rPr>
                  <w:fldChar w:fldCharType="separate"/>
                </w:r>
                <w:r>
                  <w:rPr>
                    <w:noProof/>
                    <w:webHidden/>
                  </w:rPr>
                  <w:t>170</w:t>
                </w:r>
                <w:r>
                  <w:rPr>
                    <w:noProof/>
                    <w:webHidden/>
                  </w:rPr>
                  <w:fldChar w:fldCharType="end"/>
                </w:r>
              </w:hyperlink>
            </w:p>
            <w:p w14:paraId="02B99775" w14:textId="474657BB" w:rsidR="00B632AC" w:rsidRDefault="00B632AC" w:rsidP="001912B6">
              <w:pPr>
                <w:pStyle w:val="TOC2"/>
                <w:rPr>
                  <w:rFonts w:eastAsiaTheme="minorEastAsia"/>
                  <w:kern w:val="2"/>
                  <w:lang w:eastAsia="en-US"/>
                  <w14:ligatures w14:val="standardContextual"/>
                </w:rPr>
              </w:pPr>
              <w:hyperlink w:anchor="_Toc209014433" w:history="1">
                <w:r w:rsidRPr="006F2931">
                  <w:rPr>
                    <w:rStyle w:val="Hyperlink"/>
                  </w:rPr>
                  <w:t>Types of Hazing</w:t>
                </w:r>
                <w:r>
                  <w:rPr>
                    <w:webHidden/>
                  </w:rPr>
                  <w:tab/>
                </w:r>
                <w:r>
                  <w:rPr>
                    <w:webHidden/>
                  </w:rPr>
                  <w:fldChar w:fldCharType="begin"/>
                </w:r>
                <w:r>
                  <w:rPr>
                    <w:webHidden/>
                  </w:rPr>
                  <w:instrText xml:space="preserve"> PAGEREF _Toc209014433 \h </w:instrText>
                </w:r>
                <w:r>
                  <w:rPr>
                    <w:webHidden/>
                  </w:rPr>
                </w:r>
                <w:r>
                  <w:rPr>
                    <w:webHidden/>
                  </w:rPr>
                  <w:fldChar w:fldCharType="separate"/>
                </w:r>
                <w:r>
                  <w:rPr>
                    <w:webHidden/>
                  </w:rPr>
                  <w:t>170</w:t>
                </w:r>
                <w:r>
                  <w:rPr>
                    <w:webHidden/>
                  </w:rPr>
                  <w:fldChar w:fldCharType="end"/>
                </w:r>
              </w:hyperlink>
            </w:p>
            <w:p w14:paraId="24F41256" w14:textId="56CF5865" w:rsidR="00B632AC" w:rsidRDefault="00B632AC">
              <w:pPr>
                <w:pStyle w:val="TOC1"/>
                <w:tabs>
                  <w:tab w:val="right" w:leader="dot" w:pos="10910"/>
                </w:tabs>
                <w:rPr>
                  <w:rFonts w:eastAsiaTheme="minorEastAsia"/>
                  <w:noProof/>
                  <w:color w:val="auto"/>
                  <w:kern w:val="2"/>
                  <w:lang w:eastAsia="en-US"/>
                  <w14:ligatures w14:val="standardContextual"/>
                </w:rPr>
              </w:pPr>
              <w:hyperlink w:anchor="_Toc209014434" w:history="1">
                <w:r w:rsidRPr="006F2931">
                  <w:rPr>
                    <w:rStyle w:val="Hyperlink"/>
                    <w:rFonts w:eastAsia="Times New Roman" w:cs="Times New Roman"/>
                    <w:noProof/>
                    <w:kern w:val="36"/>
                  </w:rPr>
                  <w:t>North Dakota Anti-Hazing Law</w:t>
                </w:r>
                <w:r>
                  <w:rPr>
                    <w:noProof/>
                    <w:webHidden/>
                  </w:rPr>
                  <w:tab/>
                </w:r>
                <w:r>
                  <w:rPr>
                    <w:noProof/>
                    <w:webHidden/>
                  </w:rPr>
                  <w:fldChar w:fldCharType="begin"/>
                </w:r>
                <w:r>
                  <w:rPr>
                    <w:noProof/>
                    <w:webHidden/>
                  </w:rPr>
                  <w:instrText xml:space="preserve"> PAGEREF _Toc209014434 \h </w:instrText>
                </w:r>
                <w:r>
                  <w:rPr>
                    <w:noProof/>
                    <w:webHidden/>
                  </w:rPr>
                </w:r>
                <w:r>
                  <w:rPr>
                    <w:noProof/>
                    <w:webHidden/>
                  </w:rPr>
                  <w:fldChar w:fldCharType="separate"/>
                </w:r>
                <w:r>
                  <w:rPr>
                    <w:noProof/>
                    <w:webHidden/>
                  </w:rPr>
                  <w:t>171</w:t>
                </w:r>
                <w:r>
                  <w:rPr>
                    <w:noProof/>
                    <w:webHidden/>
                  </w:rPr>
                  <w:fldChar w:fldCharType="end"/>
                </w:r>
              </w:hyperlink>
            </w:p>
            <w:p w14:paraId="427034E0" w14:textId="022CC36D" w:rsidR="00B632AC" w:rsidRDefault="00B632AC">
              <w:pPr>
                <w:pStyle w:val="TOC1"/>
                <w:tabs>
                  <w:tab w:val="right" w:leader="dot" w:pos="10910"/>
                </w:tabs>
                <w:rPr>
                  <w:rFonts w:eastAsiaTheme="minorEastAsia"/>
                  <w:noProof/>
                  <w:color w:val="auto"/>
                  <w:kern w:val="2"/>
                  <w:lang w:eastAsia="en-US"/>
                  <w14:ligatures w14:val="standardContextual"/>
                </w:rPr>
              </w:pPr>
              <w:hyperlink w:anchor="_Toc209014435" w:history="1">
                <w:r w:rsidRPr="006F2931">
                  <w:rPr>
                    <w:rStyle w:val="Hyperlink"/>
                    <w:noProof/>
                  </w:rPr>
                  <w:t>Consequences of Hazing</w:t>
                </w:r>
                <w:r>
                  <w:rPr>
                    <w:noProof/>
                    <w:webHidden/>
                  </w:rPr>
                  <w:tab/>
                </w:r>
                <w:r>
                  <w:rPr>
                    <w:noProof/>
                    <w:webHidden/>
                  </w:rPr>
                  <w:fldChar w:fldCharType="begin"/>
                </w:r>
                <w:r>
                  <w:rPr>
                    <w:noProof/>
                    <w:webHidden/>
                  </w:rPr>
                  <w:instrText xml:space="preserve"> PAGEREF _Toc209014435 \h </w:instrText>
                </w:r>
                <w:r>
                  <w:rPr>
                    <w:noProof/>
                    <w:webHidden/>
                  </w:rPr>
                </w:r>
                <w:r>
                  <w:rPr>
                    <w:noProof/>
                    <w:webHidden/>
                  </w:rPr>
                  <w:fldChar w:fldCharType="separate"/>
                </w:r>
                <w:r>
                  <w:rPr>
                    <w:noProof/>
                    <w:webHidden/>
                  </w:rPr>
                  <w:t>171</w:t>
                </w:r>
                <w:r>
                  <w:rPr>
                    <w:noProof/>
                    <w:webHidden/>
                  </w:rPr>
                  <w:fldChar w:fldCharType="end"/>
                </w:r>
              </w:hyperlink>
            </w:p>
            <w:p w14:paraId="65A958BA" w14:textId="001FA0D3" w:rsidR="00B632AC" w:rsidRDefault="00B632AC" w:rsidP="001912B6">
              <w:pPr>
                <w:pStyle w:val="TOC2"/>
                <w:rPr>
                  <w:rFonts w:eastAsiaTheme="minorEastAsia"/>
                  <w:kern w:val="2"/>
                  <w:lang w:eastAsia="en-US"/>
                  <w14:ligatures w14:val="standardContextual"/>
                </w:rPr>
              </w:pPr>
              <w:hyperlink w:anchor="_Toc209014436" w:history="1">
                <w:r w:rsidRPr="006F2931">
                  <w:rPr>
                    <w:rStyle w:val="Hyperlink"/>
                  </w:rPr>
                  <w:t>Support and Reporting</w:t>
                </w:r>
                <w:r>
                  <w:rPr>
                    <w:webHidden/>
                  </w:rPr>
                  <w:tab/>
                </w:r>
                <w:r>
                  <w:rPr>
                    <w:webHidden/>
                  </w:rPr>
                  <w:fldChar w:fldCharType="begin"/>
                </w:r>
                <w:r>
                  <w:rPr>
                    <w:webHidden/>
                  </w:rPr>
                  <w:instrText xml:space="preserve"> PAGEREF _Toc209014436 \h </w:instrText>
                </w:r>
                <w:r>
                  <w:rPr>
                    <w:webHidden/>
                  </w:rPr>
                </w:r>
                <w:r>
                  <w:rPr>
                    <w:webHidden/>
                  </w:rPr>
                  <w:fldChar w:fldCharType="separate"/>
                </w:r>
                <w:r>
                  <w:rPr>
                    <w:webHidden/>
                  </w:rPr>
                  <w:t>172</w:t>
                </w:r>
                <w:r>
                  <w:rPr>
                    <w:webHidden/>
                  </w:rPr>
                  <w:fldChar w:fldCharType="end"/>
                </w:r>
              </w:hyperlink>
            </w:p>
            <w:p w14:paraId="2CBDD23B" w14:textId="60AAAD69" w:rsidR="00B632AC" w:rsidRDefault="00B632AC" w:rsidP="001912B6">
              <w:pPr>
                <w:pStyle w:val="TOC2"/>
                <w:rPr>
                  <w:rFonts w:eastAsiaTheme="minorEastAsia"/>
                  <w:kern w:val="2"/>
                  <w:lang w:eastAsia="en-US"/>
                  <w14:ligatures w14:val="standardContextual"/>
                </w:rPr>
              </w:pPr>
              <w:hyperlink w:anchor="_Toc209014437" w:history="1">
                <w:r w:rsidRPr="006F2931">
                  <w:rPr>
                    <w:rStyle w:val="Hyperlink"/>
                  </w:rPr>
                  <w:t>Campus Hazing Transparency Report</w:t>
                </w:r>
                <w:r>
                  <w:rPr>
                    <w:webHidden/>
                  </w:rPr>
                  <w:tab/>
                </w:r>
                <w:r>
                  <w:rPr>
                    <w:webHidden/>
                  </w:rPr>
                  <w:fldChar w:fldCharType="begin"/>
                </w:r>
                <w:r>
                  <w:rPr>
                    <w:webHidden/>
                  </w:rPr>
                  <w:instrText xml:space="preserve"> PAGEREF _Toc209014437 \h </w:instrText>
                </w:r>
                <w:r>
                  <w:rPr>
                    <w:webHidden/>
                  </w:rPr>
                </w:r>
                <w:r>
                  <w:rPr>
                    <w:webHidden/>
                  </w:rPr>
                  <w:fldChar w:fldCharType="separate"/>
                </w:r>
                <w:r>
                  <w:rPr>
                    <w:webHidden/>
                  </w:rPr>
                  <w:t>172</w:t>
                </w:r>
                <w:r>
                  <w:rPr>
                    <w:webHidden/>
                  </w:rPr>
                  <w:fldChar w:fldCharType="end"/>
                </w:r>
              </w:hyperlink>
            </w:p>
            <w:p w14:paraId="0936E22D" w14:textId="2D2E4E11" w:rsidR="00B632AC" w:rsidRDefault="00B632AC" w:rsidP="001912B6">
              <w:pPr>
                <w:pStyle w:val="TOC2"/>
                <w:rPr>
                  <w:rFonts w:eastAsiaTheme="minorEastAsia"/>
                  <w:kern w:val="2"/>
                  <w:lang w:eastAsia="en-US"/>
                  <w14:ligatures w14:val="standardContextual"/>
                </w:rPr>
              </w:pPr>
              <w:hyperlink w:anchor="_Toc209014438" w:history="1">
                <w:r w:rsidRPr="006F2931">
                  <w:rPr>
                    <w:rStyle w:val="Hyperlink"/>
                  </w:rPr>
                  <w:t>Definition of Student Organization</w:t>
                </w:r>
                <w:r>
                  <w:rPr>
                    <w:webHidden/>
                  </w:rPr>
                  <w:tab/>
                </w:r>
                <w:r>
                  <w:rPr>
                    <w:webHidden/>
                  </w:rPr>
                  <w:fldChar w:fldCharType="begin"/>
                </w:r>
                <w:r>
                  <w:rPr>
                    <w:webHidden/>
                  </w:rPr>
                  <w:instrText xml:space="preserve"> PAGEREF _Toc209014438 \h </w:instrText>
                </w:r>
                <w:r>
                  <w:rPr>
                    <w:webHidden/>
                  </w:rPr>
                </w:r>
                <w:r>
                  <w:rPr>
                    <w:webHidden/>
                  </w:rPr>
                  <w:fldChar w:fldCharType="separate"/>
                </w:r>
                <w:r>
                  <w:rPr>
                    <w:webHidden/>
                  </w:rPr>
                  <w:t>172</w:t>
                </w:r>
                <w:r>
                  <w:rPr>
                    <w:webHidden/>
                  </w:rPr>
                  <w:fldChar w:fldCharType="end"/>
                </w:r>
              </w:hyperlink>
            </w:p>
            <w:p w14:paraId="198F896E" w14:textId="10006210" w:rsidR="00B632AC" w:rsidRDefault="00B632AC">
              <w:pPr>
                <w:pStyle w:val="TOC1"/>
                <w:tabs>
                  <w:tab w:val="right" w:leader="dot" w:pos="10910"/>
                </w:tabs>
                <w:rPr>
                  <w:rFonts w:eastAsiaTheme="minorEastAsia"/>
                  <w:noProof/>
                  <w:color w:val="auto"/>
                  <w:kern w:val="2"/>
                  <w:lang w:eastAsia="en-US"/>
                  <w14:ligatures w14:val="standardContextual"/>
                </w:rPr>
              </w:pPr>
              <w:hyperlink w:anchor="_Toc209014439" w:history="1">
                <w:r w:rsidRPr="006F2931">
                  <w:rPr>
                    <w:rStyle w:val="Hyperlink"/>
                    <w:noProof/>
                  </w:rPr>
                  <w:t>appendix</w:t>
                </w:r>
                <w:r>
                  <w:rPr>
                    <w:noProof/>
                    <w:webHidden/>
                  </w:rPr>
                  <w:tab/>
                </w:r>
                <w:r>
                  <w:rPr>
                    <w:noProof/>
                    <w:webHidden/>
                  </w:rPr>
                  <w:fldChar w:fldCharType="begin"/>
                </w:r>
                <w:r>
                  <w:rPr>
                    <w:noProof/>
                    <w:webHidden/>
                  </w:rPr>
                  <w:instrText xml:space="preserve"> PAGEREF _Toc209014439 \h </w:instrText>
                </w:r>
                <w:r>
                  <w:rPr>
                    <w:noProof/>
                    <w:webHidden/>
                  </w:rPr>
                </w:r>
                <w:r>
                  <w:rPr>
                    <w:noProof/>
                    <w:webHidden/>
                  </w:rPr>
                  <w:fldChar w:fldCharType="separate"/>
                </w:r>
                <w:r>
                  <w:rPr>
                    <w:noProof/>
                    <w:webHidden/>
                  </w:rPr>
                  <w:t>174</w:t>
                </w:r>
                <w:r>
                  <w:rPr>
                    <w:noProof/>
                    <w:webHidden/>
                  </w:rPr>
                  <w:fldChar w:fldCharType="end"/>
                </w:r>
              </w:hyperlink>
            </w:p>
            <w:p w14:paraId="3297F377" w14:textId="27B1045D" w:rsidR="00B632AC" w:rsidRDefault="00B632AC" w:rsidP="001912B6">
              <w:pPr>
                <w:pStyle w:val="TOC2"/>
                <w:rPr>
                  <w:rFonts w:eastAsiaTheme="minorEastAsia"/>
                  <w:kern w:val="2"/>
                  <w:lang w:eastAsia="en-US"/>
                  <w14:ligatures w14:val="standardContextual"/>
                </w:rPr>
              </w:pPr>
              <w:hyperlink w:anchor="_Toc209014440" w:history="1">
                <w:r w:rsidRPr="006F2931">
                  <w:rPr>
                    <w:rStyle w:val="Hyperlink"/>
                  </w:rPr>
                  <w:t>Campus Map</w:t>
                </w:r>
                <w:r>
                  <w:rPr>
                    <w:webHidden/>
                  </w:rPr>
                  <w:tab/>
                </w:r>
                <w:r>
                  <w:rPr>
                    <w:webHidden/>
                  </w:rPr>
                  <w:fldChar w:fldCharType="begin"/>
                </w:r>
                <w:r>
                  <w:rPr>
                    <w:webHidden/>
                  </w:rPr>
                  <w:instrText xml:space="preserve"> PAGEREF _Toc209014440 \h </w:instrText>
                </w:r>
                <w:r>
                  <w:rPr>
                    <w:webHidden/>
                  </w:rPr>
                </w:r>
                <w:r>
                  <w:rPr>
                    <w:webHidden/>
                  </w:rPr>
                  <w:fldChar w:fldCharType="separate"/>
                </w:r>
                <w:r>
                  <w:rPr>
                    <w:webHidden/>
                  </w:rPr>
                  <w:t>174</w:t>
                </w:r>
                <w:r>
                  <w:rPr>
                    <w:webHidden/>
                  </w:rPr>
                  <w:fldChar w:fldCharType="end"/>
                </w:r>
              </w:hyperlink>
            </w:p>
            <w:p w14:paraId="0A63E00B" w14:textId="5455BE9F" w:rsidR="00B632AC" w:rsidRDefault="00B632AC" w:rsidP="001912B6">
              <w:pPr>
                <w:pStyle w:val="TOC2"/>
                <w:rPr>
                  <w:rFonts w:eastAsiaTheme="minorEastAsia"/>
                  <w:kern w:val="2"/>
                  <w:lang w:eastAsia="en-US"/>
                  <w14:ligatures w14:val="standardContextual"/>
                </w:rPr>
              </w:pPr>
            </w:p>
            <w:p w14:paraId="1EA87013" w14:textId="3496C83C" w:rsidR="00AA020F" w:rsidRDefault="00AA020F">
              <w:r>
                <w:rPr>
                  <w:b/>
                  <w:bCs/>
                  <w:noProof/>
                </w:rPr>
                <w:fldChar w:fldCharType="end"/>
              </w:r>
            </w:p>
          </w:sdtContent>
        </w:sdt>
        <w:p w14:paraId="20B9215F" w14:textId="77777777" w:rsidR="00624126" w:rsidRPr="00624126" w:rsidRDefault="00624126" w:rsidP="00624126">
          <w:pPr>
            <w:spacing w:before="0" w:after="0" w:line="240" w:lineRule="auto"/>
            <w:rPr>
              <w:rFonts w:ascii="Times New Roman" w:eastAsia="Calibri" w:hAnsi="Times New Roman" w:cs="Times New Roman"/>
              <w:color w:val="auto"/>
              <w:lang w:eastAsia="en-US"/>
            </w:rPr>
          </w:pPr>
        </w:p>
        <w:p w14:paraId="79420C01" w14:textId="77777777" w:rsidR="00624126" w:rsidRPr="00624126" w:rsidRDefault="00624126" w:rsidP="00624126">
          <w:pPr>
            <w:spacing w:before="0" w:after="0" w:line="240" w:lineRule="auto"/>
            <w:rPr>
              <w:rFonts w:ascii="Times New Roman" w:eastAsia="Calibri" w:hAnsi="Times New Roman" w:cs="Times New Roman"/>
              <w:color w:val="auto"/>
              <w:lang w:eastAsia="en-US"/>
            </w:rPr>
          </w:pPr>
        </w:p>
        <w:p w14:paraId="75D3820A" w14:textId="44D67CE8" w:rsidR="00624126" w:rsidRPr="00624126" w:rsidRDefault="00624126" w:rsidP="00624126">
          <w:pPr>
            <w:spacing w:before="0" w:after="0" w:line="240" w:lineRule="auto"/>
            <w:rPr>
              <w:rFonts w:ascii="Times New Roman" w:eastAsia="Calibri" w:hAnsi="Times New Roman" w:cs="Times New Roman"/>
              <w:color w:val="auto"/>
              <w:lang w:eastAsia="en-US"/>
            </w:rPr>
          </w:pPr>
          <w:r w:rsidRPr="00624126">
            <w:rPr>
              <w:rFonts w:ascii="Times New Roman" w:eastAsia="Calibri" w:hAnsi="Times New Roman" w:cs="Times New Roman"/>
              <w:color w:val="auto"/>
              <w:lang w:eastAsia="en-US"/>
            </w:rPr>
            <w:t xml:space="preserve">The Annual Security Report can be accessed on the Neuta Hidatsa Sahnish College website: </w:t>
          </w:r>
          <w:hyperlink r:id="rId9" w:history="1">
            <w:r w:rsidRPr="00624126">
              <w:rPr>
                <w:rFonts w:ascii="Times New Roman" w:eastAsia="Calibri" w:hAnsi="Times New Roman" w:cs="Times New Roman"/>
                <w:color w:val="0563C1"/>
                <w:u w:val="single"/>
                <w:lang w:eastAsia="en-US"/>
              </w:rPr>
              <w:t>www.nhsc.edu</w:t>
            </w:r>
          </w:hyperlink>
        </w:p>
        <w:p w14:paraId="4E30A741" w14:textId="77777777" w:rsidR="00624126" w:rsidRPr="00624126" w:rsidRDefault="00E414C1" w:rsidP="00624126">
          <w:pPr>
            <w:spacing w:before="0" w:after="0" w:line="240" w:lineRule="auto"/>
            <w:rPr>
              <w:rFonts w:ascii="Times New Roman" w:eastAsia="Calibri" w:hAnsi="Times New Roman" w:cs="Times New Roman"/>
              <w:color w:val="auto"/>
              <w:sz w:val="22"/>
              <w:szCs w:val="22"/>
              <w:lang w:eastAsia="en-US"/>
            </w:rPr>
            <w:sectPr w:rsidR="00624126" w:rsidRPr="00624126" w:rsidSect="004E0010">
              <w:footerReference w:type="default" r:id="rId10"/>
              <w:pgSz w:w="12240" w:h="15840"/>
              <w:pgMar w:top="1500" w:right="660" w:bottom="280" w:left="660" w:header="562" w:footer="389" w:gutter="0"/>
              <w:pgNumType w:start="0"/>
              <w:cols w:space="720"/>
              <w:noEndnote/>
              <w:docGrid w:linePitch="299"/>
            </w:sectPr>
          </w:pPr>
        </w:p>
      </w:sdtContent>
    </w:sdt>
    <w:p w14:paraId="5E15A5E5" w14:textId="28ABA296" w:rsidR="00D4304F" w:rsidRPr="002A0E3E" w:rsidRDefault="00082B89" w:rsidP="008563E1">
      <w:pPr>
        <w:pStyle w:val="Heading1"/>
        <w:spacing w:line="360" w:lineRule="auto"/>
        <w:rPr>
          <w:rFonts w:asciiTheme="minorHAnsi" w:hAnsiTheme="minorHAnsi" w:cstheme="minorHAnsi"/>
          <w:sz w:val="32"/>
        </w:rPr>
      </w:pPr>
      <w:bookmarkStart w:id="0" w:name="_Toc209014355"/>
      <w:r w:rsidRPr="002A0E3E">
        <w:rPr>
          <w:rFonts w:asciiTheme="minorHAnsi" w:hAnsiTheme="minorHAnsi" w:cstheme="minorHAnsi"/>
          <w:sz w:val="32"/>
        </w:rPr>
        <w:lastRenderedPageBreak/>
        <w:t xml:space="preserve">1.0 </w:t>
      </w:r>
      <w:r w:rsidR="00D72CFE">
        <w:rPr>
          <w:rFonts w:asciiTheme="minorHAnsi" w:hAnsiTheme="minorHAnsi" w:cstheme="minorHAnsi"/>
          <w:sz w:val="32"/>
        </w:rPr>
        <w:tab/>
      </w:r>
      <w:r w:rsidR="00D72CFE">
        <w:rPr>
          <w:rFonts w:asciiTheme="minorHAnsi" w:hAnsiTheme="minorHAnsi" w:cstheme="minorHAnsi"/>
          <w:sz w:val="32"/>
        </w:rPr>
        <w:tab/>
      </w:r>
      <w:r w:rsidRPr="002A0E3E">
        <w:rPr>
          <w:rFonts w:asciiTheme="minorHAnsi" w:hAnsiTheme="minorHAnsi" w:cstheme="minorHAnsi"/>
          <w:sz w:val="32"/>
        </w:rPr>
        <w:t>I</w:t>
      </w:r>
      <w:r w:rsidR="006F3BFF" w:rsidRPr="002A0E3E">
        <w:rPr>
          <w:rFonts w:asciiTheme="minorHAnsi" w:hAnsiTheme="minorHAnsi" w:cstheme="minorHAnsi"/>
          <w:sz w:val="32"/>
        </w:rPr>
        <w:t>ntroduction</w:t>
      </w:r>
      <w:bookmarkEnd w:id="0"/>
    </w:p>
    <w:p w14:paraId="7F8A2A30" w14:textId="3F56C5D4" w:rsidR="00D4304F" w:rsidRPr="002A0E3E" w:rsidRDefault="00082B89">
      <w:pPr>
        <w:pStyle w:val="Heading2"/>
        <w:rPr>
          <w:rFonts w:asciiTheme="minorHAnsi" w:hAnsiTheme="minorHAnsi" w:cstheme="minorHAnsi"/>
          <w:sz w:val="24"/>
          <w:szCs w:val="24"/>
        </w:rPr>
      </w:pPr>
      <w:bookmarkStart w:id="1" w:name="_Toc209014356"/>
      <w:r w:rsidRPr="002A0E3E">
        <w:rPr>
          <w:rFonts w:asciiTheme="minorHAnsi" w:hAnsiTheme="minorHAnsi" w:cstheme="minorHAnsi"/>
          <w:sz w:val="24"/>
          <w:szCs w:val="24"/>
        </w:rPr>
        <w:t>1.1 Overview of the clery act</w:t>
      </w:r>
      <w:bookmarkEnd w:id="1"/>
    </w:p>
    <w:p w14:paraId="4056F869" w14:textId="42A74188" w:rsidR="00082B89" w:rsidRDefault="00082B89">
      <w:r>
        <w:t>Choosing a postsecondary institution is a major decision for students and their families.  Deciding where to work and build a career is also a big decision and one that needs to be made based on an assessment of a number of factors.  Campus safety and security is an important factor in determining whether or not to join a campus community.  Access to safety and security information is also important for current students and employees at our college.</w:t>
      </w:r>
    </w:p>
    <w:p w14:paraId="3E068502" w14:textId="10ABC0FD" w:rsidR="00082B89" w:rsidRDefault="00082B89">
      <w:r>
        <w:t>In response to concerns regarding campus safety and security at colleges and universities, Congress enacted the Crime Awareness and Campus Security Act of 1990, which amended the Higher Education Act of 1965.  The 1998 amendments to this Act renamed it the Jeanne Clery Disclosure of Campus Security Policy and Campus Crime Statistics Act, in memory of Jeanne Clery.  This federal law has largely become known across the United States</w:t>
      </w:r>
      <w:r w:rsidR="008F1E49">
        <w:t xml:space="preserve"> as the “Clery Act.”  In 2008, the Higher Education Opportunity Act was enacted, amending the Clery Act and adding fire safety reporting requirements for institutions with on-campus student housing.</w:t>
      </w:r>
    </w:p>
    <w:p w14:paraId="28176448" w14:textId="2D60E512" w:rsidR="008F1E49" w:rsidRDefault="008F1E49">
      <w:r>
        <w:t>All public and private postsecondary institutions that participate in Title IV student financial assistance programs must comply with the Clery Act and institutionalize its mandates.  Among the various requirements, colleges and universities are required to prepare, publish, and distribute an annual report that discloses campus crime statistics, provides fire statistics for on-campus student housing, and includes statements of safety and security, as well as fire-related policies and procedures.  The notice of availability must be distributed to all current students and employees and made available to prospective students and employees.</w:t>
      </w:r>
    </w:p>
    <w:p w14:paraId="7940A985" w14:textId="133037D1" w:rsidR="008F1E49" w:rsidRDefault="008F1E49" w:rsidP="00270252">
      <w:pPr>
        <w:spacing w:before="240"/>
      </w:pPr>
      <w:r>
        <w:t xml:space="preserve">In line with Clery Act mandates, member of our college community have embraced a culture of </w:t>
      </w:r>
      <w:r w:rsidR="007141F1">
        <w:t xml:space="preserve">reporting safety concerns NHS College is committed to meeting the technical compliance requirements of the Clery </w:t>
      </w:r>
      <w:r w:rsidR="00D14916">
        <w:t>Act and</w:t>
      </w:r>
      <w:r w:rsidR="007141F1">
        <w:t xml:space="preserve"> also incorporating the spirit of the Clery Act: knowledge is power.</w:t>
      </w:r>
    </w:p>
    <w:p w14:paraId="1D2568AB" w14:textId="16493AB8" w:rsidR="007141F1" w:rsidRDefault="007141F1" w:rsidP="00270252">
      <w:pPr>
        <w:spacing w:before="240"/>
      </w:pPr>
      <w:r>
        <w:lastRenderedPageBreak/>
        <w:t>This report, know</w:t>
      </w:r>
      <w:r w:rsidR="008563E1">
        <w:t>n</w:t>
      </w:r>
      <w:r>
        <w:t xml:space="preserve"> as the Annual Security Report, contains specific Clery Act crime, arrest, and disciplinary referral statistics from the most recent three calendar years, as well as information about safety policies and practices intended to promote awareness about security and safety.</w:t>
      </w:r>
    </w:p>
    <w:p w14:paraId="75DF63EC" w14:textId="394D930D" w:rsidR="007141F1" w:rsidRDefault="007141F1">
      <w:r>
        <w:t xml:space="preserve">This report is coordinated, prepared, and updated by the Campus Safety </w:t>
      </w:r>
      <w:r w:rsidR="00D81149">
        <w:t>Director</w:t>
      </w:r>
      <w:r>
        <w:t xml:space="preserve"> and various campus partners.  The 202</w:t>
      </w:r>
      <w:r w:rsidR="00D14916">
        <w:t>5</w:t>
      </w:r>
      <w:r>
        <w:t xml:space="preserve"> Annual Security Report may be directly accessed by visiting </w:t>
      </w:r>
      <w:hyperlink r:id="rId11" w:history="1">
        <w:r w:rsidR="00876749" w:rsidRPr="008A32BF">
          <w:rPr>
            <w:rStyle w:val="Hyperlink"/>
          </w:rPr>
          <w:t>www.nhsc.edu/students/campus-security/</w:t>
        </w:r>
      </w:hyperlink>
      <w:r>
        <w:t xml:space="preserve">.  Copies of this Annual Security Report may be obtained from the Vice President of </w:t>
      </w:r>
      <w:r w:rsidR="0001078A">
        <w:t>Campus Services</w:t>
      </w:r>
      <w:r w:rsidR="00BA056A">
        <w:t xml:space="preserve"> during normal business hours (generally Monday through Friday, 8:00 a.m. to 5:00 p.m.).  The Campus Safety Department is located on campus, near the front entrance at Door C.</w:t>
      </w:r>
    </w:p>
    <w:p w14:paraId="3F39B2A4" w14:textId="4420488A" w:rsidR="00BA056A" w:rsidRPr="001E0365" w:rsidRDefault="00BA056A" w:rsidP="00D72CFE">
      <w:pPr>
        <w:pStyle w:val="Heading2"/>
        <w:ind w:left="720" w:hanging="720"/>
        <w:rPr>
          <w:rFonts w:asciiTheme="minorHAnsi" w:hAnsiTheme="minorHAnsi" w:cstheme="minorHAnsi"/>
          <w:sz w:val="24"/>
          <w:szCs w:val="24"/>
        </w:rPr>
      </w:pPr>
      <w:bookmarkStart w:id="2" w:name="_Toc209014357"/>
      <w:r w:rsidRPr="001E0365">
        <w:rPr>
          <w:rFonts w:asciiTheme="minorHAnsi" w:hAnsiTheme="minorHAnsi" w:cstheme="minorHAnsi"/>
          <w:sz w:val="24"/>
          <w:szCs w:val="24"/>
        </w:rPr>
        <w:t>1.2</w:t>
      </w:r>
      <w:r w:rsidRPr="001E0365">
        <w:rPr>
          <w:rFonts w:asciiTheme="minorHAnsi" w:hAnsiTheme="minorHAnsi" w:cstheme="minorHAnsi"/>
          <w:sz w:val="24"/>
          <w:szCs w:val="24"/>
        </w:rPr>
        <w:tab/>
        <w:t>NONDISCRIMINATION &amp; AFFIRMATIVE ACTION POLICY REGARDING ACADEM</w:t>
      </w:r>
      <w:r w:rsidR="00CC5F19" w:rsidRPr="001E0365">
        <w:rPr>
          <w:rFonts w:asciiTheme="minorHAnsi" w:hAnsiTheme="minorHAnsi" w:cstheme="minorHAnsi"/>
          <w:sz w:val="24"/>
          <w:szCs w:val="24"/>
        </w:rPr>
        <w:t>IC</w:t>
      </w:r>
      <w:r w:rsidRPr="001E0365">
        <w:rPr>
          <w:rFonts w:asciiTheme="minorHAnsi" w:hAnsiTheme="minorHAnsi" w:cstheme="minorHAnsi"/>
          <w:sz w:val="24"/>
          <w:szCs w:val="24"/>
        </w:rPr>
        <w:t xml:space="preserve"> AND STAFF EMPLOYMENT</w:t>
      </w:r>
      <w:bookmarkEnd w:id="2"/>
      <w:r w:rsidRPr="001E0365">
        <w:rPr>
          <w:rFonts w:asciiTheme="minorHAnsi" w:hAnsiTheme="minorHAnsi" w:cstheme="minorHAnsi"/>
          <w:sz w:val="24"/>
          <w:szCs w:val="24"/>
        </w:rPr>
        <w:t xml:space="preserve"> </w:t>
      </w:r>
    </w:p>
    <w:p w14:paraId="24738606" w14:textId="6A137251" w:rsidR="00BA056A" w:rsidRDefault="00BA056A" w:rsidP="00BA056A">
      <w:r>
        <w:t>It is our policy not to engage in discrimination against or harassment of any person employed or seeking employment with the College on the basis of race, color, national origin, religion, sec, gender, gender expression, gender identity, gender transition status, pregnancy, physical or mental disability, medical condition (cancer-related or genetic characteristics), genetic information (including family medical history), ancestry, marital status, age, sexual orientation</w:t>
      </w:r>
      <w:r w:rsidR="001A25CC">
        <w:t>, citizenship, or service in the uniformed services, including protected veterans.  This policy applies to all employment practices, including recruitment, selection, promotion, transfer, merit increase, salary, training and development, demotion, and separation.  This policy is intended to be consistent with the provisions of applicable state and federal laws and College policies.</w:t>
      </w:r>
    </w:p>
    <w:p w14:paraId="0715797A" w14:textId="05F60FD6" w:rsidR="001A25CC" w:rsidRDefault="001A25CC" w:rsidP="009B51F3">
      <w:r>
        <w:t>College policy also prohibits retaliation against any employees or person seeking employment for bringing a complaint of discrimination or harassment pursuant to this policy.  This policy also prohibits retaliation against a person who assists someone with a complaint of discrimination or harassment.  Retaliation includes threats, intimidation, reprisals, and/or adverse actions related to employment.</w:t>
      </w:r>
    </w:p>
    <w:p w14:paraId="77F473D6" w14:textId="77777777" w:rsidR="00D27AA1" w:rsidRDefault="00D27AA1" w:rsidP="009B51F3">
      <w:pPr>
        <w:ind w:left="605" w:hanging="605"/>
      </w:pPr>
    </w:p>
    <w:p w14:paraId="4BCA457B" w14:textId="53839326" w:rsidR="001A25CC" w:rsidRPr="0028270D" w:rsidRDefault="001A25CC" w:rsidP="00D72CFE">
      <w:pPr>
        <w:pStyle w:val="Heading2"/>
        <w:ind w:left="720" w:hanging="720"/>
        <w:rPr>
          <w:rFonts w:asciiTheme="minorHAnsi" w:hAnsiTheme="minorHAnsi" w:cstheme="minorHAnsi"/>
          <w:sz w:val="24"/>
          <w:szCs w:val="24"/>
        </w:rPr>
      </w:pPr>
      <w:bookmarkStart w:id="3" w:name="_Toc209014358"/>
      <w:r w:rsidRPr="0028270D">
        <w:rPr>
          <w:rFonts w:asciiTheme="minorHAnsi" w:hAnsiTheme="minorHAnsi" w:cstheme="minorHAnsi"/>
          <w:sz w:val="24"/>
          <w:szCs w:val="24"/>
        </w:rPr>
        <w:lastRenderedPageBreak/>
        <w:t>1.3</w:t>
      </w:r>
      <w:r w:rsidRPr="0028270D">
        <w:rPr>
          <w:rFonts w:asciiTheme="minorHAnsi" w:hAnsiTheme="minorHAnsi" w:cstheme="minorHAnsi"/>
          <w:sz w:val="24"/>
          <w:szCs w:val="24"/>
        </w:rPr>
        <w:tab/>
        <w:t xml:space="preserve">NONDISCRIMINATION POLICY STATEMENT FOR COLLEGE PULICATIONS </w:t>
      </w:r>
      <w:r w:rsidR="00D14916" w:rsidRPr="0028270D">
        <w:rPr>
          <w:rFonts w:asciiTheme="minorHAnsi" w:hAnsiTheme="minorHAnsi" w:cstheme="minorHAnsi"/>
          <w:sz w:val="24"/>
          <w:szCs w:val="24"/>
        </w:rPr>
        <w:t>REGARDING STUDENT</w:t>
      </w:r>
      <w:r w:rsidR="00762FDB" w:rsidRPr="0028270D">
        <w:rPr>
          <w:rFonts w:asciiTheme="minorHAnsi" w:hAnsiTheme="minorHAnsi" w:cstheme="minorHAnsi"/>
          <w:sz w:val="24"/>
          <w:szCs w:val="24"/>
        </w:rPr>
        <w:t>-RELATED MATTERS</w:t>
      </w:r>
      <w:bookmarkEnd w:id="3"/>
    </w:p>
    <w:p w14:paraId="4FFEBDD0" w14:textId="6C4B519A" w:rsidR="00762FDB" w:rsidRDefault="00762FDB" w:rsidP="00762FDB">
      <w:r>
        <w:t xml:space="preserve">The College, in accordance with applicable Federal and State law and College policy, does not discriminate </w:t>
      </w:r>
      <w:r w:rsidR="002B607C">
        <w:t>based on</w:t>
      </w:r>
      <w:r>
        <w:t xml:space="preserve"> race, color, national origin, religion, sex, gender identity, pregnancy, physical or mental disability, medical condition (cancer-related or genetic characteristics), ancestry, marital status, age, sexual orientation, citizenship, or service in the uniformed services.  The College also prohibits sexual harassment.  This nondiscrimination policy covers admission, access, and treatment in college programs and activities.</w:t>
      </w:r>
    </w:p>
    <w:p w14:paraId="711F0C34" w14:textId="6EE2A0B5" w:rsidR="00762FDB" w:rsidRPr="0028270D" w:rsidRDefault="00FD07AF" w:rsidP="0028270D">
      <w:pPr>
        <w:pStyle w:val="Heading1"/>
        <w:rPr>
          <w:rFonts w:asciiTheme="minorHAnsi" w:hAnsiTheme="minorHAnsi" w:cstheme="minorHAnsi"/>
          <w:sz w:val="32"/>
        </w:rPr>
      </w:pPr>
      <w:bookmarkStart w:id="4" w:name="_Toc209014359"/>
      <w:r w:rsidRPr="0028270D">
        <w:rPr>
          <w:rFonts w:asciiTheme="minorHAnsi" w:hAnsiTheme="minorHAnsi" w:cstheme="minorHAnsi"/>
          <w:sz w:val="32"/>
        </w:rPr>
        <w:t xml:space="preserve">2.0 </w:t>
      </w:r>
      <w:r w:rsidR="00D72CFE">
        <w:rPr>
          <w:rFonts w:asciiTheme="minorHAnsi" w:hAnsiTheme="minorHAnsi" w:cstheme="minorHAnsi"/>
          <w:sz w:val="32"/>
        </w:rPr>
        <w:tab/>
      </w:r>
      <w:r w:rsidR="00D72CFE">
        <w:rPr>
          <w:rFonts w:asciiTheme="minorHAnsi" w:hAnsiTheme="minorHAnsi" w:cstheme="minorHAnsi"/>
          <w:sz w:val="32"/>
        </w:rPr>
        <w:tab/>
      </w:r>
      <w:r w:rsidRPr="0028270D">
        <w:rPr>
          <w:rFonts w:asciiTheme="minorHAnsi" w:hAnsiTheme="minorHAnsi" w:cstheme="minorHAnsi"/>
          <w:sz w:val="32"/>
        </w:rPr>
        <w:t>Preparation of the Annual Security Report</w:t>
      </w:r>
      <w:bookmarkEnd w:id="4"/>
    </w:p>
    <w:p w14:paraId="3D593741" w14:textId="33942AEB" w:rsidR="00FD07AF" w:rsidRPr="0028270D" w:rsidRDefault="00FD07AF" w:rsidP="0028270D">
      <w:pPr>
        <w:pStyle w:val="Heading2"/>
        <w:rPr>
          <w:rFonts w:asciiTheme="minorHAnsi" w:hAnsiTheme="minorHAnsi" w:cstheme="minorHAnsi"/>
          <w:sz w:val="24"/>
          <w:szCs w:val="24"/>
        </w:rPr>
      </w:pPr>
      <w:bookmarkStart w:id="5" w:name="_Toc209014360"/>
      <w:r w:rsidRPr="0028270D">
        <w:rPr>
          <w:rFonts w:asciiTheme="minorHAnsi" w:hAnsiTheme="minorHAnsi" w:cstheme="minorHAnsi"/>
          <w:sz w:val="24"/>
          <w:szCs w:val="24"/>
        </w:rPr>
        <w:t>2.1</w:t>
      </w:r>
      <w:r w:rsidRPr="0028270D">
        <w:rPr>
          <w:rFonts w:asciiTheme="minorHAnsi" w:hAnsiTheme="minorHAnsi" w:cstheme="minorHAnsi"/>
          <w:sz w:val="24"/>
          <w:szCs w:val="24"/>
        </w:rPr>
        <w:tab/>
        <w:t>PURPOSE OF THE ANNUAL SECURITY REPORT</w:t>
      </w:r>
      <w:bookmarkEnd w:id="5"/>
    </w:p>
    <w:p w14:paraId="56B5ACCC" w14:textId="3D6EB3A8" w:rsidR="00FD07AF" w:rsidRDefault="00FD07AF" w:rsidP="00FD07AF">
      <w:r>
        <w:t>Under the Clery Act, the college has immed</w:t>
      </w:r>
      <w:r w:rsidR="00230AB6">
        <w:t>iate, ongoing, and annual reporting requirements.  The Annual Security Report (ASR) is updated and published each year.   This ASR contains safety and security related policy statements and procedures as well as crime statistics for the most recent three calendar years.  The college distributes the Annual Security Report to all current students, staff, and faculty by October 1 of each year.  NHSC also informs prospective students, staff, and faculty about the availability of these</w:t>
      </w:r>
      <w:r w:rsidR="00D5352B">
        <w:t xml:space="preserve"> reports.</w:t>
      </w:r>
    </w:p>
    <w:p w14:paraId="1F391E18" w14:textId="4E1FF20B" w:rsidR="00D5352B" w:rsidRPr="0028270D" w:rsidRDefault="00D5352B" w:rsidP="0028270D">
      <w:pPr>
        <w:pStyle w:val="Heading2"/>
        <w:rPr>
          <w:rFonts w:asciiTheme="minorHAnsi" w:hAnsiTheme="minorHAnsi" w:cstheme="minorHAnsi"/>
          <w:sz w:val="24"/>
          <w:szCs w:val="24"/>
        </w:rPr>
      </w:pPr>
      <w:bookmarkStart w:id="6" w:name="_Toc209014361"/>
      <w:r w:rsidRPr="0028270D">
        <w:rPr>
          <w:rFonts w:asciiTheme="minorHAnsi" w:hAnsiTheme="minorHAnsi" w:cstheme="minorHAnsi"/>
          <w:sz w:val="24"/>
          <w:szCs w:val="24"/>
        </w:rPr>
        <w:t>2.2</w:t>
      </w:r>
      <w:r w:rsidRPr="0028270D">
        <w:rPr>
          <w:rFonts w:asciiTheme="minorHAnsi" w:hAnsiTheme="minorHAnsi" w:cstheme="minorHAnsi"/>
          <w:sz w:val="24"/>
          <w:szCs w:val="24"/>
        </w:rPr>
        <w:tab/>
        <w:t>ANNUAL SECURITY REPORT NOTIFICATION AND DISTRIBUTION</w:t>
      </w:r>
      <w:bookmarkEnd w:id="6"/>
    </w:p>
    <w:p w14:paraId="12CD541D" w14:textId="0787E323" w:rsidR="00D5352B" w:rsidRDefault="00D5352B" w:rsidP="00FD07AF">
      <w:r>
        <w:t>The ASR is distributed in compliance with the requirements of the Clery Act.  Specifically, NHSC distributes an</w:t>
      </w:r>
      <w:r w:rsidR="00797366">
        <w:t xml:space="preserve"> individual</w:t>
      </w:r>
      <w:r w:rsidR="00C52F04">
        <w:t xml:space="preserve"> notice about the report to all currently enrolled students and all current employees by October 1 of each year.  The notice generally</w:t>
      </w:r>
      <w:r w:rsidR="00FB601A">
        <w:t xml:space="preserve"> includes a statement of the report’s availability, a brief description of the information contained within</w:t>
      </w:r>
      <w:r w:rsidR="000A59FD">
        <w:t xml:space="preserve"> the report, a direct link to the report, and information regarding where paper copies may be obtained upon request.</w:t>
      </w:r>
      <w:r w:rsidR="000D5DBC">
        <w:t xml:space="preserve">  The report is also made available to prospective students and employees upon requ</w:t>
      </w:r>
      <w:r w:rsidR="00F61CFD">
        <w:t xml:space="preserve">est.  The ASR may be directly accessed by visiting </w:t>
      </w:r>
      <w:hyperlink r:id="rId12" w:history="1">
        <w:r w:rsidR="002B607C" w:rsidRPr="002A14A3">
          <w:rPr>
            <w:rStyle w:val="Hyperlink"/>
            <w:color w:val="auto"/>
          </w:rPr>
          <w:t>https://nhsc.edu/students/campus-security/</w:t>
        </w:r>
      </w:hyperlink>
      <w:r w:rsidR="008C3059" w:rsidRPr="002A14A3">
        <w:rPr>
          <w:color w:val="auto"/>
        </w:rPr>
        <w:t>.</w:t>
      </w:r>
    </w:p>
    <w:p w14:paraId="473DC097" w14:textId="0F1102E9" w:rsidR="008C3059" w:rsidRPr="0028270D" w:rsidRDefault="008C3059" w:rsidP="00D72CFE">
      <w:pPr>
        <w:pStyle w:val="Heading1"/>
        <w:ind w:left="1440" w:hanging="1440"/>
        <w:rPr>
          <w:rFonts w:asciiTheme="minorHAnsi" w:hAnsiTheme="minorHAnsi" w:cstheme="minorHAnsi"/>
          <w:sz w:val="32"/>
        </w:rPr>
      </w:pPr>
      <w:bookmarkStart w:id="7" w:name="_Toc209014362"/>
      <w:r w:rsidRPr="0028270D">
        <w:rPr>
          <w:rFonts w:asciiTheme="minorHAnsi" w:hAnsiTheme="minorHAnsi" w:cstheme="minorHAnsi"/>
          <w:sz w:val="32"/>
        </w:rPr>
        <w:lastRenderedPageBreak/>
        <w:t xml:space="preserve">3.0 </w:t>
      </w:r>
      <w:r w:rsidR="00D72CFE">
        <w:rPr>
          <w:rFonts w:asciiTheme="minorHAnsi" w:hAnsiTheme="minorHAnsi" w:cstheme="minorHAnsi"/>
          <w:sz w:val="32"/>
        </w:rPr>
        <w:tab/>
      </w:r>
      <w:r w:rsidRPr="0028270D">
        <w:rPr>
          <w:rFonts w:asciiTheme="minorHAnsi" w:hAnsiTheme="minorHAnsi" w:cstheme="minorHAnsi"/>
          <w:sz w:val="32"/>
        </w:rPr>
        <w:t>Campus Security Department and Other Agencies</w:t>
      </w:r>
      <w:bookmarkEnd w:id="7"/>
    </w:p>
    <w:p w14:paraId="3372394D" w14:textId="5FC6050C" w:rsidR="008C3059" w:rsidRPr="0028270D" w:rsidRDefault="001951E3" w:rsidP="0028270D">
      <w:pPr>
        <w:pStyle w:val="Heading2"/>
        <w:rPr>
          <w:rFonts w:asciiTheme="minorHAnsi" w:hAnsiTheme="minorHAnsi" w:cstheme="minorHAnsi"/>
          <w:sz w:val="24"/>
          <w:szCs w:val="24"/>
        </w:rPr>
      </w:pPr>
      <w:bookmarkStart w:id="8" w:name="_Toc209014363"/>
      <w:r w:rsidRPr="0028270D">
        <w:rPr>
          <w:rFonts w:asciiTheme="minorHAnsi" w:hAnsiTheme="minorHAnsi" w:cstheme="minorHAnsi"/>
          <w:sz w:val="24"/>
          <w:szCs w:val="24"/>
        </w:rPr>
        <w:t>3.1</w:t>
      </w:r>
      <w:r w:rsidRPr="0028270D">
        <w:rPr>
          <w:rFonts w:asciiTheme="minorHAnsi" w:hAnsiTheme="minorHAnsi" w:cstheme="minorHAnsi"/>
          <w:sz w:val="24"/>
          <w:szCs w:val="24"/>
        </w:rPr>
        <w:tab/>
        <w:t>CAMPUS SECURITY DEPARTMENT AND OTHER AGENCIES</w:t>
      </w:r>
      <w:bookmarkEnd w:id="8"/>
    </w:p>
    <w:p w14:paraId="3DF8D163" w14:textId="5399CAA6" w:rsidR="001951E3" w:rsidRDefault="0041532E" w:rsidP="00FD07AF">
      <w:r>
        <w:t>Safety is a shared vision at Nueta Hidatsa Sahnish College.  By collaborating with our community and sharing campus safety and security information, we aim to increase awareness</w:t>
      </w:r>
      <w:r w:rsidR="00F6549E">
        <w:t xml:space="preserve"> and stimulate participation in this shared responsibility for maintaining a safe campus environment.  We value strong partnerships with our community and other campus departments and together make our campus a safe place for all.</w:t>
      </w:r>
    </w:p>
    <w:p w14:paraId="3E497E05" w14:textId="77777777" w:rsidR="00847BF2" w:rsidRDefault="00923CB8" w:rsidP="00FD07AF">
      <w:r>
        <w:t>Each semester, new and returning students are offered information regarding campus security procedures through the NHSC Student Handboo</w:t>
      </w:r>
      <w:r w:rsidR="006F0E49">
        <w:t>k</w:t>
      </w:r>
      <w:r w:rsidR="003B6A20">
        <w:t xml:space="preserve"> and New Student Orientation presentations, which specifically cover security procedures and practices for students and staff.  The Student Handbook provides a list of New Town resources which includes, but not limited to, local hospitals, Indian Health Services, Guidance Counselor, Rape Crisis Center and phone numbers for the Director of Security, Tribal Police and New Town City Police.</w:t>
      </w:r>
    </w:p>
    <w:p w14:paraId="76CB7786" w14:textId="32773DDD" w:rsidR="00F6549E" w:rsidRDefault="00847BF2" w:rsidP="00FD07AF">
      <w:r>
        <w:t>Gatherings are held to familiarize faculty, staff, and students with the Campus Safety Officer and Maintenance Staff, their contact information, crime reporting protocol, safety training, policies, procedures</w:t>
      </w:r>
      <w:r w:rsidR="006707FA">
        <w:t xml:space="preserve"> and </w:t>
      </w:r>
      <w:r w:rsidR="00FF06B4">
        <w:t>services which include</w:t>
      </w:r>
      <w:r w:rsidR="00CC6D6F">
        <w:t xml:space="preserve"> key services and policy violation incident support.  In addition, the Emergency Communication Intercom System is </w:t>
      </w:r>
      <w:r w:rsidR="002B607C">
        <w:t>reviewed,</w:t>
      </w:r>
      <w:r w:rsidR="00CC6D6F">
        <w:t xml:space="preserve"> and the Emergency Management Team is introduced.</w:t>
      </w:r>
    </w:p>
    <w:p w14:paraId="282C3AA7" w14:textId="77C5A1EA" w:rsidR="00CC6D6F" w:rsidRPr="0028270D" w:rsidRDefault="00CC6D6F" w:rsidP="0028270D">
      <w:pPr>
        <w:pStyle w:val="Heading2"/>
        <w:rPr>
          <w:rFonts w:asciiTheme="minorHAnsi" w:hAnsiTheme="minorHAnsi" w:cstheme="minorHAnsi"/>
          <w:sz w:val="24"/>
          <w:szCs w:val="24"/>
        </w:rPr>
      </w:pPr>
      <w:bookmarkStart w:id="9" w:name="_Toc209014364"/>
      <w:r w:rsidRPr="0028270D">
        <w:rPr>
          <w:rFonts w:asciiTheme="minorHAnsi" w:hAnsiTheme="minorHAnsi" w:cstheme="minorHAnsi"/>
          <w:sz w:val="24"/>
          <w:szCs w:val="24"/>
        </w:rPr>
        <w:t>3.2</w:t>
      </w:r>
      <w:r w:rsidRPr="0028270D">
        <w:rPr>
          <w:rFonts w:asciiTheme="minorHAnsi" w:hAnsiTheme="minorHAnsi" w:cstheme="minorHAnsi"/>
          <w:sz w:val="24"/>
          <w:szCs w:val="24"/>
        </w:rPr>
        <w:tab/>
        <w:t>JURISDICTION, ENFORCEMENT</w:t>
      </w:r>
      <w:r w:rsidR="00C740E4" w:rsidRPr="0028270D">
        <w:rPr>
          <w:rFonts w:asciiTheme="minorHAnsi" w:hAnsiTheme="minorHAnsi" w:cstheme="minorHAnsi"/>
          <w:sz w:val="24"/>
          <w:szCs w:val="24"/>
        </w:rPr>
        <w:t xml:space="preserve"> AUTHORITY, AND ARREST AUTHORITY</w:t>
      </w:r>
      <w:bookmarkEnd w:id="9"/>
    </w:p>
    <w:p w14:paraId="2DC08EE2" w14:textId="4A609309" w:rsidR="00C740E4" w:rsidRDefault="00C740E4" w:rsidP="00FD07AF">
      <w:r>
        <w:t>NHS College desires to maintain a secure and accessible campus for students, employees, contractors, visitors, and guests.  The Campus Safety Officer serves the college as the manager of safety for staff, students, and community members.  The Campus Safety Officer has no law enforcement</w:t>
      </w:r>
      <w:r w:rsidR="003232C9">
        <w:t xml:space="preserve"> authority and no arrest powers.  When an incident occurs the safety officer or maintenance staff contact the appropriate local authority.  If the situation involves a tribal member, the Three Affiliated Tribes Police are contacted.  If the situation involves a non-native, the New Town Police are contacted.</w:t>
      </w:r>
    </w:p>
    <w:p w14:paraId="6AF74D36" w14:textId="206CE26B" w:rsidR="00CA6EA1" w:rsidRDefault="00CA6EA1" w:rsidP="00FD07AF">
      <w:r>
        <w:lastRenderedPageBreak/>
        <w:t>NHSC occasionally hires contract security workers for athletic and entertainment events.  Contract security personnel are not sworn law enforcement; they are trained to observe and report criminal and security issues to the College</w:t>
      </w:r>
      <w:r w:rsidR="00B46E52">
        <w:t>.</w:t>
      </w:r>
    </w:p>
    <w:p w14:paraId="31144B9F" w14:textId="708D3A86" w:rsidR="00B46E52" w:rsidRPr="0028270D" w:rsidRDefault="00B46E52" w:rsidP="0028270D">
      <w:pPr>
        <w:pStyle w:val="Heading2"/>
        <w:rPr>
          <w:rFonts w:asciiTheme="minorHAnsi" w:hAnsiTheme="minorHAnsi" w:cstheme="minorHAnsi"/>
          <w:sz w:val="24"/>
          <w:szCs w:val="24"/>
        </w:rPr>
      </w:pPr>
      <w:bookmarkStart w:id="10" w:name="_Toc209014365"/>
      <w:r w:rsidRPr="0028270D">
        <w:rPr>
          <w:rFonts w:asciiTheme="minorHAnsi" w:hAnsiTheme="minorHAnsi" w:cstheme="minorHAnsi"/>
          <w:sz w:val="24"/>
          <w:szCs w:val="24"/>
        </w:rPr>
        <w:t>3.3</w:t>
      </w:r>
      <w:r w:rsidRPr="0028270D">
        <w:rPr>
          <w:rFonts w:asciiTheme="minorHAnsi" w:hAnsiTheme="minorHAnsi" w:cstheme="minorHAnsi"/>
          <w:sz w:val="24"/>
          <w:szCs w:val="24"/>
        </w:rPr>
        <w:tab/>
        <w:t>WORKING RELATIONSHIPS WITH LOCAL LAW ENFORCEMENT</w:t>
      </w:r>
      <w:bookmarkEnd w:id="10"/>
    </w:p>
    <w:p w14:paraId="45D45563" w14:textId="0D5594A1" w:rsidR="00B46E52" w:rsidRDefault="00814049" w:rsidP="00FD07AF">
      <w:pPr>
        <w:rPr>
          <w:b/>
          <w:bCs/>
        </w:rPr>
      </w:pPr>
      <w:r>
        <w:rPr>
          <w:b/>
          <w:bCs/>
        </w:rPr>
        <w:t>Relationships with Local Law Enforcement Agencies and Emergency Response Agencies</w:t>
      </w:r>
    </w:p>
    <w:p w14:paraId="1078A67D" w14:textId="6992F2C2" w:rsidR="006F4FD5" w:rsidRDefault="006F4FD5" w:rsidP="00FD07AF">
      <w:r>
        <w:t>NHSC’s campus falls under the jurisdiction of several policy agencies.  NHSC Campus Safety</w:t>
      </w:r>
      <w:r w:rsidR="00C20189">
        <w:t xml:space="preserve"> personnel work closely with all local, tribal, county, </w:t>
      </w:r>
      <w:r w:rsidR="0098230D">
        <w:t>st</w:t>
      </w:r>
      <w:r w:rsidR="00C20189">
        <w:t xml:space="preserve">ate, and </w:t>
      </w:r>
      <w:r w:rsidR="0098230D">
        <w:t>federal polic</w:t>
      </w:r>
      <w:r w:rsidR="00F96162">
        <w:t>e agencies, and have a direct working relationship with the New Town Police Department and Three Affiliated Tribes Police Department.  Currently, the College has no Memorandum of Understandings (MOU’s) with any of the above law enforcement agencies.  All offenses</w:t>
      </w:r>
      <w:r w:rsidR="00891246">
        <w:t xml:space="preserve"> such as sexual offenses, murder, aggravated assault, robbery, and auto theft are report the NHSC Campus Personnel who then contact the appropriate local law enforcement</w:t>
      </w:r>
      <w:r w:rsidR="00E00D29">
        <w:t xml:space="preserve"> who are utilized to resolve these various crimes.</w:t>
      </w:r>
    </w:p>
    <w:p w14:paraId="23096038" w14:textId="65ED094F" w:rsidR="00E00D29" w:rsidRDefault="00E00D29" w:rsidP="00FD07AF">
      <w:r>
        <w:t>The College has cooperative working relationships with the surrounding law enforcement and emergency response agencies to share information and resources and works closely with these agencies to respond to crime or other emergency</w:t>
      </w:r>
      <w:r w:rsidR="00BE5274">
        <w:t xml:space="preserve"> situations.  This collaboration leads to functional assessment for the needs of either Emergency Notifications or Timely Warnings.  In</w:t>
      </w:r>
      <w:r w:rsidR="00297655">
        <w:t xml:space="preserve"> addition, the College collaborates with local, state, and federal agencies, as necessary.</w:t>
      </w:r>
    </w:p>
    <w:p w14:paraId="5E3C1B4C" w14:textId="2C61A8CA" w:rsidR="00297655" w:rsidRPr="00A00636" w:rsidRDefault="00297655" w:rsidP="00D72CFE">
      <w:pPr>
        <w:pStyle w:val="Heading2"/>
        <w:ind w:left="720" w:hanging="720"/>
        <w:rPr>
          <w:rFonts w:asciiTheme="minorHAnsi" w:hAnsiTheme="minorHAnsi" w:cstheme="minorHAnsi"/>
          <w:sz w:val="24"/>
          <w:szCs w:val="24"/>
        </w:rPr>
      </w:pPr>
      <w:bookmarkStart w:id="11" w:name="_Toc209014366"/>
      <w:r w:rsidRPr="00A00636">
        <w:rPr>
          <w:rFonts w:asciiTheme="minorHAnsi" w:hAnsiTheme="minorHAnsi" w:cstheme="minorHAnsi"/>
          <w:sz w:val="24"/>
          <w:szCs w:val="24"/>
        </w:rPr>
        <w:t>3.4</w:t>
      </w:r>
      <w:r w:rsidRPr="00A00636">
        <w:rPr>
          <w:rFonts w:asciiTheme="minorHAnsi" w:hAnsiTheme="minorHAnsi" w:cstheme="minorHAnsi"/>
          <w:sz w:val="24"/>
          <w:szCs w:val="24"/>
        </w:rPr>
        <w:tab/>
        <w:t>CRIMES INVOLVING STUDENT ORGANIZATIONS AT OFF CAMPUS LOCATIONS</w:t>
      </w:r>
      <w:bookmarkEnd w:id="11"/>
    </w:p>
    <w:p w14:paraId="288D58B6" w14:textId="1801257F" w:rsidR="00297655" w:rsidRDefault="00DC713B" w:rsidP="00FD07AF">
      <w:r>
        <w:t>NHSC does not routinely provide law enforcement services to off-campus residences of student organizations</w:t>
      </w:r>
      <w:r w:rsidR="00BC6310">
        <w:t xml:space="preserve"> (c</w:t>
      </w:r>
      <w:r w:rsidR="0052105E">
        <w:t>urrently the College has no off-campus student organiza</w:t>
      </w:r>
      <w:r w:rsidR="00BC6310">
        <w:t>ti</w:t>
      </w:r>
      <w:r w:rsidR="0052105E">
        <w:t>on</w:t>
      </w:r>
      <w:r w:rsidR="00BC6310">
        <w:t>).</w:t>
      </w:r>
      <w:r w:rsidR="004D06E8">
        <w:t xml:space="preserve">  Criminal activity at off-campus locations would normally be reported to the local law enforcement</w:t>
      </w:r>
      <w:r w:rsidR="00E03F44">
        <w:t xml:space="preserve"> jurisdiction (i.e., Tribal Police and New Town City Police).  While NHSC relies on its close working relationships with local law enforcement agencies to receive information a</w:t>
      </w:r>
      <w:r w:rsidR="00C6003F">
        <w:t>bout incidents involving our students and student organization, NHSC does not have a formal agreement with local law</w:t>
      </w:r>
      <w:r w:rsidR="00147AB5">
        <w:t xml:space="preserve"> enforcement to monitor criminal activity in these off-campus locations.</w:t>
      </w:r>
    </w:p>
    <w:p w14:paraId="79424215" w14:textId="7570DCD3" w:rsidR="00147AB5" w:rsidRDefault="00147AB5" w:rsidP="00FD07AF">
      <w:r>
        <w:lastRenderedPageBreak/>
        <w:t>If NHSC learns of criminal activity involving students or student organizations, it will coordinate with the appropriate external law enforcement</w:t>
      </w:r>
      <w:r w:rsidR="00F119C0">
        <w:t xml:space="preserve"> agency to forward information about the situation to the </w:t>
      </w:r>
      <w:r w:rsidR="00E718DA">
        <w:t>Office of Student Services</w:t>
      </w:r>
      <w:r w:rsidR="00F119C0">
        <w:t xml:space="preserve"> (VP of Campus Services), Title IX, and campus support resources</w:t>
      </w:r>
      <w:r w:rsidR="003F5FB4">
        <w:t>, as appropriate.</w:t>
      </w:r>
    </w:p>
    <w:p w14:paraId="3714A654" w14:textId="72597D29" w:rsidR="003F5FB4" w:rsidRDefault="003F5FB4" w:rsidP="00FD07AF">
      <w:r>
        <w:t>The College requires all recognized student organizations to abide by federal, state, and local laws</w:t>
      </w:r>
      <w:r w:rsidR="000573F6">
        <w:t>, and College regulations.  The College may become involved in the off-campus conduct of recognized student organizations when such conduct is determined</w:t>
      </w:r>
      <w:r w:rsidR="00844D98">
        <w:t xml:space="preserve"> to interfere with the College’s mission or adversely affect members of the community (as defined in the NHSC’s Student Conduct Policy at </w:t>
      </w:r>
      <w:hyperlink r:id="rId13" w:history="1">
        <w:r w:rsidR="00535768" w:rsidRPr="00E66EDC">
          <w:rPr>
            <w:rStyle w:val="Hyperlink"/>
          </w:rPr>
          <w:t>https://live-nhsc.pantheonsite.io/wpcontent/uploads/2024/08/Student-Handbook-2024-25-FINAL.pdf</w:t>
        </w:r>
        <w:r w:rsidR="00844D98" w:rsidRPr="00E66EDC">
          <w:rPr>
            <w:rStyle w:val="Hyperlink"/>
          </w:rPr>
          <w:t xml:space="preserve"> </w:t>
        </w:r>
      </w:hyperlink>
    </w:p>
    <w:p w14:paraId="579C8C7C" w14:textId="49ABC9AB" w:rsidR="00DC0403" w:rsidRPr="00A00636" w:rsidRDefault="00DC0403" w:rsidP="00E74F0D">
      <w:pPr>
        <w:pStyle w:val="Heading1"/>
        <w:ind w:left="1440" w:hanging="1440"/>
        <w:rPr>
          <w:rFonts w:asciiTheme="minorHAnsi" w:hAnsiTheme="minorHAnsi" w:cstheme="minorHAnsi"/>
          <w:sz w:val="32"/>
        </w:rPr>
      </w:pPr>
      <w:bookmarkStart w:id="12" w:name="_Toc209014367"/>
      <w:r w:rsidRPr="00A00636">
        <w:rPr>
          <w:rFonts w:asciiTheme="minorHAnsi" w:hAnsiTheme="minorHAnsi" w:cstheme="minorHAnsi"/>
          <w:sz w:val="32"/>
        </w:rPr>
        <w:t>4.0</w:t>
      </w:r>
      <w:r w:rsidRPr="00A00636">
        <w:rPr>
          <w:rFonts w:asciiTheme="minorHAnsi" w:hAnsiTheme="minorHAnsi" w:cstheme="minorHAnsi"/>
          <w:sz w:val="32"/>
        </w:rPr>
        <w:tab/>
        <w:t>Reporting Criminal Activity and Emergencies</w:t>
      </w:r>
      <w:bookmarkEnd w:id="12"/>
    </w:p>
    <w:p w14:paraId="153B7823" w14:textId="1FC53FCC" w:rsidR="00DC0403" w:rsidRPr="00A00636" w:rsidRDefault="00DC0403" w:rsidP="00A00636">
      <w:pPr>
        <w:pStyle w:val="Heading2"/>
        <w:rPr>
          <w:rFonts w:asciiTheme="minorHAnsi" w:hAnsiTheme="minorHAnsi" w:cstheme="minorHAnsi"/>
          <w:sz w:val="24"/>
          <w:szCs w:val="24"/>
        </w:rPr>
      </w:pPr>
      <w:bookmarkStart w:id="13" w:name="_Toc209014368"/>
      <w:r w:rsidRPr="00A00636">
        <w:rPr>
          <w:rFonts w:asciiTheme="minorHAnsi" w:hAnsiTheme="minorHAnsi" w:cstheme="minorHAnsi"/>
          <w:sz w:val="24"/>
          <w:szCs w:val="24"/>
        </w:rPr>
        <w:t>4.1</w:t>
      </w:r>
      <w:r w:rsidRPr="00A00636">
        <w:rPr>
          <w:rFonts w:asciiTheme="minorHAnsi" w:hAnsiTheme="minorHAnsi" w:cstheme="minorHAnsi"/>
          <w:sz w:val="24"/>
          <w:szCs w:val="24"/>
        </w:rPr>
        <w:tab/>
        <w:t>ACCURATE AND PROMPT REPORTING OF CRIMINAL ACTIVITY</w:t>
      </w:r>
      <w:bookmarkEnd w:id="13"/>
    </w:p>
    <w:p w14:paraId="79C5654A" w14:textId="3C72B9AD" w:rsidR="00DC0403" w:rsidRDefault="00DC0403" w:rsidP="00FD07AF">
      <w:r>
        <w:t xml:space="preserve">In order to make the College campus as safe and secure as possible, all students, staff, faculty, </w:t>
      </w:r>
      <w:r w:rsidR="00094538">
        <w:t>other community members, and visitors are strongly encouraged to immediately report all criminal activity and all sus</w:t>
      </w:r>
      <w:r w:rsidR="00CC6DA0">
        <w:t>picious person(s), and/or suspicious activities, to the Campus Safety Office or appropriate police agency (depending on location</w:t>
      </w:r>
      <w:r w:rsidR="008808E2">
        <w:t xml:space="preserve"> of crime).  The College encourages accurate and prompt reporting of all crimes to Police when a victim requests</w:t>
      </w:r>
      <w:r w:rsidR="0011241F">
        <w:t xml:space="preserve"> help making a report or is unable to make a report without assistance.</w:t>
      </w:r>
    </w:p>
    <w:p w14:paraId="792C3B26" w14:textId="35262E4B" w:rsidR="00301734" w:rsidRDefault="00301734" w:rsidP="00FD07AF">
      <w:r>
        <w:t>Report Crimes in progress and emergencies by dialing 911.  Calls to 911 from campus will connect the caller to the New Town Policy Office Dispatch Center.   For non-emergencies, call the Campus Safety Office at (701) 627-</w:t>
      </w:r>
      <w:r w:rsidR="00666A10">
        <w:t>8052 or (701) 421-</w:t>
      </w:r>
      <w:r w:rsidR="006707FA">
        <w:t>0023</w:t>
      </w:r>
      <w:r w:rsidR="00666A10">
        <w:t xml:space="preserve">.  Reports can also be made in person at the NHSC campus safety office, located at the front entrance of the campus at Door C.  If you must ask yourself if you should contact </w:t>
      </w:r>
      <w:r w:rsidR="002B607C">
        <w:t>the police</w:t>
      </w:r>
      <w:r w:rsidR="0001078A">
        <w:t>,</w:t>
      </w:r>
      <w:r w:rsidR="00C75793">
        <w:t xml:space="preserve"> </w:t>
      </w:r>
      <w:r w:rsidR="00666A10">
        <w:t>make the call!</w:t>
      </w:r>
    </w:p>
    <w:p w14:paraId="5430D37B" w14:textId="239F7400" w:rsidR="00666A10" w:rsidRDefault="00666A10" w:rsidP="00FD07AF">
      <w:r>
        <w:t>NHSC has primary jurisdiction and responsibility</w:t>
      </w:r>
      <w:r w:rsidR="00ED1F16">
        <w:t xml:space="preserve"> for investigating crimes and providing protection services to the College campus community.  The immediate and accurate reporting of </w:t>
      </w:r>
      <w:r w:rsidR="00ED1F16">
        <w:lastRenderedPageBreak/>
        <w:t>all criminal activity assists NHSC in assessing Clery crimes for a potential Timely Warning</w:t>
      </w:r>
      <w:r w:rsidR="007A5FD0">
        <w:t xml:space="preserve"> and for inclusion in the annual Clery crime statistics disclosure and the Daily Crime Log.</w:t>
      </w:r>
    </w:p>
    <w:p w14:paraId="6D369477" w14:textId="5E00D700" w:rsidR="007A5FD0" w:rsidRDefault="007A5FD0" w:rsidP="00FD07AF">
      <w:r>
        <w:t xml:space="preserve">All crimes that occur off or away from campus should be reported to the local law enforcement agency with jurisdiction </w:t>
      </w:r>
      <w:r w:rsidR="002B607C">
        <w:t>where</w:t>
      </w:r>
      <w:r>
        <w:t xml:space="preserve"> that crime has occurred.</w:t>
      </w:r>
    </w:p>
    <w:p w14:paraId="29DEFBBE" w14:textId="04C014F1" w:rsidR="007A5FD0" w:rsidRDefault="007A5FD0" w:rsidP="00FD07AF">
      <w:r>
        <w:t xml:space="preserve">If you are unsure of which agency you need to speak to, you may call any law enforcement </w:t>
      </w:r>
      <w:r w:rsidR="002B607C">
        <w:t>agency,</w:t>
      </w:r>
      <w:r>
        <w:t xml:space="preserve"> and they will assist you with either providing information to assist you or providing the contact information for the agency that has jurisdiction where the incident took place.</w:t>
      </w:r>
    </w:p>
    <w:p w14:paraId="63B6C485" w14:textId="41A13631" w:rsidR="00E67A31" w:rsidRDefault="00E67A31" w:rsidP="00FD07AF">
      <w:r>
        <w:t xml:space="preserve">All reported crimes may become a matter of public record.  Campus Safety Officer reports may be forwarded to </w:t>
      </w:r>
      <w:r w:rsidR="00850A85">
        <w:t xml:space="preserve">various departments, including but not limited to the Title IX Office and the </w:t>
      </w:r>
      <w:r w:rsidR="00E718DA">
        <w:t>Office of Student Services</w:t>
      </w:r>
      <w:r w:rsidR="00850A85">
        <w:t>.</w:t>
      </w:r>
    </w:p>
    <w:p w14:paraId="74C50E57" w14:textId="053AFF34" w:rsidR="00BE14F9" w:rsidRDefault="00BE14F9" w:rsidP="00FD07AF">
      <w:r>
        <w:t xml:space="preserve">NHSC’s Student Services Division will investigate a report when it is deemed appropriate.  Additional information obtained during an investigation </w:t>
      </w:r>
      <w:r w:rsidR="00D81149">
        <w:t>may</w:t>
      </w:r>
      <w:r>
        <w:t xml:space="preserve"> be forwarded to other offices at </w:t>
      </w:r>
      <w:r w:rsidR="0065430A">
        <w:t>the College</w:t>
      </w:r>
      <w:r>
        <w:t xml:space="preserve"> when deemed necessary and determined on a case-by-case basis.  If assistance is needed from local law enforcement agencies, the Campus Safety Office will contact the appropri</w:t>
      </w:r>
      <w:r w:rsidR="00787112">
        <w:t>ate agencies for assistance.  If a sexual assault, dating violence, domestic violence, or stalking should occur, staff initially on scene, including the NHSC responding Officers, will offer a victim/survivor written information on rights, options, and resources, regardless of whether the crime occurred</w:t>
      </w:r>
      <w:r w:rsidR="00003A99">
        <w:t xml:space="preserve"> on or off campus.</w:t>
      </w:r>
    </w:p>
    <w:p w14:paraId="24954496" w14:textId="1611FC23" w:rsidR="00003A99" w:rsidRDefault="00003A99" w:rsidP="00FD07AF">
      <w:r>
        <w:t>The Clery Act prohibits retaliation against a person who makes a Clery Act report.  Retaliation includes, but is not limited to, threats, intimidation, coercion, reprisals, and/or harmful (adverse) actions related to e</w:t>
      </w:r>
      <w:r w:rsidR="00EA7AC1">
        <w:t>m</w:t>
      </w:r>
      <w:r>
        <w:t>ployment or education</w:t>
      </w:r>
      <w:r w:rsidR="00EA7AC1">
        <w:t>.  Any member of the College Community who participates in retaliation may be subject to disciplinary action, including dismissal, according to the College disciplinary procedures.</w:t>
      </w:r>
    </w:p>
    <w:p w14:paraId="1F00F71B" w14:textId="33FAD6E0" w:rsidR="00117655" w:rsidRPr="00A00636" w:rsidRDefault="00117655" w:rsidP="00A00636">
      <w:pPr>
        <w:pStyle w:val="Heading2"/>
        <w:rPr>
          <w:rFonts w:asciiTheme="minorHAnsi" w:hAnsiTheme="minorHAnsi" w:cstheme="minorHAnsi"/>
          <w:sz w:val="24"/>
          <w:szCs w:val="24"/>
        </w:rPr>
      </w:pPr>
      <w:bookmarkStart w:id="14" w:name="_Toc209014369"/>
      <w:r w:rsidRPr="00A00636">
        <w:rPr>
          <w:rFonts w:asciiTheme="minorHAnsi" w:hAnsiTheme="minorHAnsi" w:cstheme="minorHAnsi"/>
          <w:sz w:val="24"/>
          <w:szCs w:val="24"/>
        </w:rPr>
        <w:lastRenderedPageBreak/>
        <w:t>4.2</w:t>
      </w:r>
      <w:r w:rsidRPr="00A00636">
        <w:rPr>
          <w:rFonts w:asciiTheme="minorHAnsi" w:hAnsiTheme="minorHAnsi" w:cstheme="minorHAnsi"/>
          <w:sz w:val="24"/>
          <w:szCs w:val="24"/>
        </w:rPr>
        <w:tab/>
        <w:t>REPORTING EMERGENCIES</w:t>
      </w:r>
      <w:bookmarkEnd w:id="14"/>
    </w:p>
    <w:p w14:paraId="09CC68C2" w14:textId="50645180" w:rsidR="00117655" w:rsidRDefault="00117655" w:rsidP="00FD07AF">
      <w:r>
        <w:t>Police, fire, and medical emergencies on campus can be reported by dialing 911 from any telep</w:t>
      </w:r>
      <w:r w:rsidR="008223AF">
        <w:t>hone on campus.  Typically, 911 calls made from GPS enabled cell phones will be routed to a local law enforcement</w:t>
      </w:r>
      <w:r w:rsidR="00A52E7A">
        <w:t xml:space="preserve"> agency that has jurisdiction in the area where the 911 call is being made from.</w:t>
      </w:r>
    </w:p>
    <w:p w14:paraId="5391A6E2" w14:textId="4345378A" w:rsidR="00A52E7A" w:rsidRDefault="00A52E7A" w:rsidP="00FD07AF">
      <w:r>
        <w:t>For all non-campus emergencies, calls for emergency service should be directed to the local law enforcement agency that has jurisdiction in the area where the emergency is occurring or has occurred.</w:t>
      </w:r>
    </w:p>
    <w:p w14:paraId="6385C5D4" w14:textId="23B6029F" w:rsidR="00A52E7A" w:rsidRPr="00A00636" w:rsidRDefault="00A52E7A" w:rsidP="00A00636">
      <w:pPr>
        <w:pStyle w:val="Heading2"/>
        <w:rPr>
          <w:rFonts w:asciiTheme="minorHAnsi" w:hAnsiTheme="minorHAnsi" w:cstheme="minorHAnsi"/>
          <w:sz w:val="24"/>
          <w:szCs w:val="24"/>
        </w:rPr>
      </w:pPr>
      <w:bookmarkStart w:id="15" w:name="_Toc209014370"/>
      <w:r w:rsidRPr="00A00636">
        <w:rPr>
          <w:rFonts w:asciiTheme="minorHAnsi" w:hAnsiTheme="minorHAnsi" w:cstheme="minorHAnsi"/>
          <w:sz w:val="24"/>
          <w:szCs w:val="24"/>
        </w:rPr>
        <w:t>4.3</w:t>
      </w:r>
      <w:r w:rsidRPr="00A00636">
        <w:rPr>
          <w:rFonts w:asciiTheme="minorHAnsi" w:hAnsiTheme="minorHAnsi" w:cstheme="minorHAnsi"/>
          <w:sz w:val="24"/>
          <w:szCs w:val="24"/>
        </w:rPr>
        <w:tab/>
      </w:r>
      <w:r w:rsidR="00524D9D" w:rsidRPr="00A00636">
        <w:rPr>
          <w:rFonts w:asciiTheme="minorHAnsi" w:hAnsiTheme="minorHAnsi" w:cstheme="minorHAnsi"/>
          <w:sz w:val="24"/>
          <w:szCs w:val="24"/>
        </w:rPr>
        <w:t>REPORTING NON-EMERGENCIES</w:t>
      </w:r>
      <w:bookmarkEnd w:id="15"/>
    </w:p>
    <w:p w14:paraId="4FAEBA51" w14:textId="1716DAC6" w:rsidR="00524D9D" w:rsidRDefault="00524D9D" w:rsidP="00FD07AF">
      <w:r>
        <w:t>Non-emergency incidents on campus can be reported to NHSC by dialing (701) 627-8</w:t>
      </w:r>
      <w:r w:rsidR="00482256">
        <w:t>052 or (701) 421-</w:t>
      </w:r>
      <w:r w:rsidR="006707FA">
        <w:t>0023</w:t>
      </w:r>
      <w:r w:rsidR="00482256">
        <w:t>.  All suspected on-campus crimes, regardless of their nature, should immediately be reported, as accurately as possible, to NHSC.</w:t>
      </w:r>
    </w:p>
    <w:p w14:paraId="013EC1B4" w14:textId="655E9E76" w:rsidR="00C640FC" w:rsidRDefault="00C640FC" w:rsidP="00FD07AF">
      <w:r>
        <w:t xml:space="preserve">If </w:t>
      </w:r>
      <w:r w:rsidR="009132ED">
        <w:t>a crime victim or any other person wants to report a non-emergency crime anonymously, NHSC has an online crime reporting for on the NHSC website:</w:t>
      </w:r>
      <w:r w:rsidR="00803E15">
        <w:t xml:space="preserve"> (</w:t>
      </w:r>
      <w:hyperlink r:id="rId14" w:history="1">
        <w:r w:rsidR="005F4833" w:rsidRPr="008A32BF">
          <w:rPr>
            <w:rStyle w:val="Hyperlink"/>
          </w:rPr>
          <w:t>www.nhsc.edu/students/campus-security/</w:t>
        </w:r>
      </w:hyperlink>
      <w:r w:rsidR="00803E15">
        <w:t>)</w:t>
      </w:r>
      <w:r w:rsidR="005F4833">
        <w:t xml:space="preserve"> click on reporting link</w:t>
      </w:r>
      <w:r w:rsidR="00803E15">
        <w:t>.  Reports of Clery Act crimes</w:t>
      </w:r>
      <w:r w:rsidR="00AE1E6C">
        <w:t xml:space="preserve"> filed in this manner are classified, counted, and published in the Clery Act annual crime statistics report without revealing any personally identifying information about the victim.  Online reporting should not be used for crimes in progress or emergencies</w:t>
      </w:r>
      <w:r w:rsidR="00150834">
        <w:t>; call 911 to immediately notify police in those situations.</w:t>
      </w:r>
    </w:p>
    <w:p w14:paraId="3AE3185C" w14:textId="0B4BD360" w:rsidR="00150834" w:rsidRPr="00A00636" w:rsidRDefault="00150834" w:rsidP="00A00636">
      <w:pPr>
        <w:pStyle w:val="Heading2"/>
        <w:rPr>
          <w:rFonts w:asciiTheme="minorHAnsi" w:hAnsiTheme="minorHAnsi" w:cstheme="minorHAnsi"/>
          <w:sz w:val="24"/>
          <w:szCs w:val="24"/>
        </w:rPr>
      </w:pPr>
      <w:bookmarkStart w:id="16" w:name="_Toc209014371"/>
      <w:r w:rsidRPr="00A00636">
        <w:rPr>
          <w:rFonts w:asciiTheme="minorHAnsi" w:hAnsiTheme="minorHAnsi" w:cstheme="minorHAnsi"/>
          <w:sz w:val="24"/>
          <w:szCs w:val="24"/>
        </w:rPr>
        <w:t>4.4</w:t>
      </w:r>
      <w:r w:rsidRPr="00A00636">
        <w:rPr>
          <w:rFonts w:asciiTheme="minorHAnsi" w:hAnsiTheme="minorHAnsi" w:cstheme="minorHAnsi"/>
          <w:sz w:val="24"/>
          <w:szCs w:val="24"/>
        </w:rPr>
        <w:tab/>
        <w:t>VOLUNTARY CONFIDENTIAL REPORTING OPTIONS</w:t>
      </w:r>
      <w:bookmarkEnd w:id="16"/>
    </w:p>
    <w:p w14:paraId="3F4E59D3" w14:textId="1DC8A953" w:rsidR="00150834" w:rsidRDefault="00150834" w:rsidP="00FD07AF">
      <w:r>
        <w:t xml:space="preserve">In certain instances, a crime victim may be reluctant to </w:t>
      </w:r>
      <w:r w:rsidR="00754C2A">
        <w:t xml:space="preserve">file an official report, fearing the criminal process and/or loss of confidentiality.  In such circumstances, </w:t>
      </w:r>
      <w:r w:rsidR="00A100D3">
        <w:t xml:space="preserve">the </w:t>
      </w:r>
      <w:r w:rsidR="00754C2A">
        <w:t xml:space="preserve">College still </w:t>
      </w:r>
      <w:r w:rsidR="00A100D3">
        <w:t xml:space="preserve">encourages crime victims to make a confidential report to NHSC.  Anyone can make a voluntary confidential report to NHSC by filling out an online report format </w:t>
      </w:r>
      <w:bookmarkStart w:id="17" w:name="_Hlk143952558"/>
      <w:r w:rsidR="00A100D3">
        <w:t>(</w:t>
      </w:r>
      <w:hyperlink r:id="rId15" w:history="1">
        <w:r w:rsidR="00784AD6" w:rsidRPr="00ED664F">
          <w:rPr>
            <w:rStyle w:val="Hyperlink"/>
          </w:rPr>
          <w:t>www.nhsc.edu/students/campus-security/</w:t>
        </w:r>
      </w:hyperlink>
      <w:bookmarkEnd w:id="17"/>
      <w:r w:rsidR="00784AD6">
        <w:t xml:space="preserve">) </w:t>
      </w:r>
      <w:r w:rsidR="00A100D3">
        <w:t xml:space="preserve">or by calling NHSC at (701) </w:t>
      </w:r>
      <w:r w:rsidR="00111338">
        <w:t>627-8052.  Additionally, confidential reports for inclusion in crime statistics reporting can be filed by submitting a CSA Report Form at (Place website here).</w:t>
      </w:r>
    </w:p>
    <w:p w14:paraId="3CB61D8C" w14:textId="51848056" w:rsidR="00111338" w:rsidRDefault="00111338" w:rsidP="00FD07AF">
      <w:r>
        <w:lastRenderedPageBreak/>
        <w:t>Confidential reports are important because they provide valuable information to help maintain a more accurate record of crimes occurring on campus and help determine where there is a pattern of crime.  Voluntary confidential reports of Clery Act</w:t>
      </w:r>
      <w:r w:rsidR="002E64B8">
        <w:t xml:space="preserve"> crimes also assist with the potential issuance of Timely Warnings to the campus community to warn of serious or continuing</w:t>
      </w:r>
      <w:r w:rsidR="00063E1A">
        <w:t xml:space="preserve"> threats, when deemed necessary by NHSC.  Additionally, crime reports filed in this manner are classified and disclosed in the annual crime statistics reporting without re</w:t>
      </w:r>
      <w:r w:rsidR="00366B91">
        <w:t>vealing any identifying information of the victim.</w:t>
      </w:r>
    </w:p>
    <w:p w14:paraId="1C363B51" w14:textId="1B68636B" w:rsidR="00366B91" w:rsidRDefault="00366B91" w:rsidP="00FD07AF">
      <w:r>
        <w:t>At the request of a victim of Sexual Violence, NHSC will not disclose a victim’s identifying information except to the prosecutor, parole officers</w:t>
      </w:r>
      <w:r w:rsidR="00BD0E39">
        <w:t xml:space="preserve"> of the Department of Corrections, hearing officers of the parole authority, probation officers of county probation departments, or other person or public agencies where authorized or required by law.</w:t>
      </w:r>
      <w:r w:rsidR="00701C15">
        <w:t xml:space="preserve">  The purpose of a confidential report is to comply with a crime victim’s desire to keep the matter confidential while taking steps to ensure their safety and the safety of others.</w:t>
      </w:r>
    </w:p>
    <w:p w14:paraId="2D4DFA2F" w14:textId="2906E760" w:rsidR="00701C15" w:rsidRDefault="00701C15" w:rsidP="00FD07AF">
      <w:r>
        <w:t xml:space="preserve">For more information about the multiple ways that a victim’s/survivor’s personally identifying information is protected from disclosure, see </w:t>
      </w:r>
      <w:r w:rsidRPr="00124027">
        <w:rPr>
          <w:b/>
          <w:bCs/>
        </w:rPr>
        <w:t>Protecting Victim Confidentiality</w:t>
      </w:r>
      <w:r>
        <w:t>.</w:t>
      </w:r>
    </w:p>
    <w:p w14:paraId="0BB2204D" w14:textId="4A6BEEDF" w:rsidR="00124027" w:rsidRPr="00A00636" w:rsidRDefault="00124027" w:rsidP="00A00636">
      <w:pPr>
        <w:pStyle w:val="Heading2"/>
        <w:rPr>
          <w:rFonts w:asciiTheme="minorHAnsi" w:hAnsiTheme="minorHAnsi" w:cstheme="minorHAnsi"/>
          <w:sz w:val="24"/>
          <w:szCs w:val="24"/>
        </w:rPr>
      </w:pPr>
      <w:bookmarkStart w:id="18" w:name="_Toc209014372"/>
      <w:r w:rsidRPr="00A00636">
        <w:rPr>
          <w:rFonts w:asciiTheme="minorHAnsi" w:hAnsiTheme="minorHAnsi" w:cstheme="minorHAnsi"/>
          <w:sz w:val="24"/>
          <w:szCs w:val="24"/>
        </w:rPr>
        <w:t>4.5</w:t>
      </w:r>
      <w:r w:rsidRPr="00A00636">
        <w:rPr>
          <w:rFonts w:asciiTheme="minorHAnsi" w:hAnsiTheme="minorHAnsi" w:cstheme="minorHAnsi"/>
          <w:sz w:val="24"/>
          <w:szCs w:val="24"/>
        </w:rPr>
        <w:tab/>
        <w:t>CAMPUS SECURITY AUTHORITIES</w:t>
      </w:r>
      <w:bookmarkEnd w:id="18"/>
    </w:p>
    <w:p w14:paraId="0A037DCD" w14:textId="45020267" w:rsidR="00124027" w:rsidRDefault="00124027" w:rsidP="00FD07AF">
      <w:r>
        <w:t>The College encourages the reporting of all criminal activity directly to the Campus Safety Officer but recognizes that some crime victims may be more inclined to report the incident to a staff member</w:t>
      </w:r>
      <w:r w:rsidR="003F201A">
        <w:t xml:space="preserve"> on campus than directly to policy or Campus Security.  For this reason, the Clery Act requires all institutions to collect crime reports from a variety of individuals and organizations who the Clery Act refers to as Campus Security Author</w:t>
      </w:r>
      <w:r w:rsidR="004765BD">
        <w:t>ities (CSAs).</w:t>
      </w:r>
    </w:p>
    <w:p w14:paraId="4FAB27DD" w14:textId="30FBD85D" w:rsidR="004765BD" w:rsidRDefault="004765BD" w:rsidP="00FD07AF">
      <w:r>
        <w:t>The Clery Act specifically includes four groups of individuals and organizations that are designated as CSAs: (1) a campus policy department or a campus security department of an institution</w:t>
      </w:r>
      <w:r w:rsidR="000A2546">
        <w:t>; (2) any individual or individuals who have responsibility for campus security but who do not constitute a campus police department or a campus security department</w:t>
      </w:r>
      <w:r w:rsidR="00921CDE">
        <w:t>; (3) any individual or organization to which students and employees are directed by the institution to report criminal</w:t>
      </w:r>
      <w:r w:rsidR="00C77697">
        <w:t xml:space="preserve"> offenses, and (4) an official of the institution who has significant responsibility for </w:t>
      </w:r>
      <w:r w:rsidR="00C77697">
        <w:lastRenderedPageBreak/>
        <w:t xml:space="preserve">student and campus activities.  An “official” is defined as any person who has the authority and the duty to </w:t>
      </w:r>
      <w:r w:rsidR="002B607C">
        <w:t>act</w:t>
      </w:r>
      <w:r w:rsidR="00C77697">
        <w:t xml:space="preserve"> or respond to particular issues on behalf of the institution.</w:t>
      </w:r>
    </w:p>
    <w:p w14:paraId="29BC8878" w14:textId="4333C809" w:rsidR="00C77697" w:rsidRDefault="001C1ED6" w:rsidP="00FD07AF">
      <w:r>
        <w:t>NHSC</w:t>
      </w:r>
      <w:r w:rsidR="00C77697">
        <w:t xml:space="preserve"> has designated the following departments and positions as primary CSAs </w:t>
      </w:r>
      <w:r w:rsidR="00AD257A">
        <w:t>and are listed under</w:t>
      </w:r>
      <w:r w:rsidR="00CF54D0">
        <w:t xml:space="preserve"> “important phone numbers” </w:t>
      </w:r>
      <w:r w:rsidR="00600B95">
        <w:t>below.</w:t>
      </w:r>
    </w:p>
    <w:p w14:paraId="432CC03A" w14:textId="1F881D98" w:rsidR="00775D94" w:rsidRDefault="00775D94" w:rsidP="00FD07AF">
      <w:r>
        <w:t xml:space="preserve">Many other staff members and departments on campus are also CSAs.  Campus officials with significant responsibility for student and campus activities are CSAs.  The list of important phone numbers are the offices of </w:t>
      </w:r>
      <w:r w:rsidR="0065430A">
        <w:t>students who</w:t>
      </w:r>
      <w:r>
        <w:t xml:space="preserve"> </w:t>
      </w:r>
      <w:r w:rsidR="00D076A0">
        <w:t>are encouraged to make crime reports to.  These CSAs are used to make an assessment about issuing a Timely Warning and inclusion in</w:t>
      </w:r>
      <w:r w:rsidR="00184C05">
        <w:t xml:space="preserve"> the annual crime statistics reporting.</w:t>
      </w:r>
    </w:p>
    <w:p w14:paraId="786F3109" w14:textId="785C0A77" w:rsidR="00184C05" w:rsidRDefault="00184C05" w:rsidP="00FD07AF">
      <w:r>
        <w:t>In addition to gathering Clery Act crime statistics information from police reports generated by NHSC, Clery Act crime statistics data are gathered from all person</w:t>
      </w:r>
      <w:r w:rsidR="005361DD">
        <w:t>nel identified as CSAs.  CSAs are instructed that reports of Clery Act crimes must be made immediately, or as soon as possible, to the Clery</w:t>
      </w:r>
      <w:r w:rsidR="006B6ED2">
        <w:t xml:space="preserve"> Safety Officer.</w:t>
      </w:r>
    </w:p>
    <w:p w14:paraId="6F9DD136" w14:textId="18FFE11F" w:rsidR="006B6ED2" w:rsidRPr="00A00636" w:rsidRDefault="006B6ED2" w:rsidP="00A00636">
      <w:pPr>
        <w:pStyle w:val="Heading2"/>
        <w:rPr>
          <w:rFonts w:asciiTheme="minorHAnsi" w:hAnsiTheme="minorHAnsi" w:cstheme="minorHAnsi"/>
          <w:sz w:val="24"/>
          <w:szCs w:val="24"/>
        </w:rPr>
      </w:pPr>
      <w:bookmarkStart w:id="19" w:name="_Toc209014373"/>
      <w:r w:rsidRPr="00A00636">
        <w:rPr>
          <w:rFonts w:asciiTheme="minorHAnsi" w:hAnsiTheme="minorHAnsi" w:cstheme="minorHAnsi"/>
          <w:sz w:val="24"/>
          <w:szCs w:val="24"/>
        </w:rPr>
        <w:t>4.6</w:t>
      </w:r>
      <w:r w:rsidR="000A51C8" w:rsidRPr="00A00636">
        <w:rPr>
          <w:rFonts w:asciiTheme="minorHAnsi" w:hAnsiTheme="minorHAnsi" w:cstheme="minorHAnsi"/>
          <w:sz w:val="24"/>
          <w:szCs w:val="24"/>
        </w:rPr>
        <w:tab/>
        <w:t>IMPORTANT TELEPHONE NUMBERS</w:t>
      </w:r>
      <w:bookmarkEnd w:id="19"/>
    </w:p>
    <w:tbl>
      <w:tblPr>
        <w:tblStyle w:val="BusinessPaper"/>
        <w:tblW w:w="0" w:type="auto"/>
        <w:tblLook w:val="04A0" w:firstRow="1" w:lastRow="0" w:firstColumn="1" w:lastColumn="0" w:noHBand="0" w:noVBand="1"/>
      </w:tblPr>
      <w:tblGrid>
        <w:gridCol w:w="2556"/>
        <w:gridCol w:w="2556"/>
        <w:gridCol w:w="2556"/>
        <w:gridCol w:w="2556"/>
      </w:tblGrid>
      <w:tr w:rsidR="000A51C8" w14:paraId="6E6800A8" w14:textId="77777777" w:rsidTr="000A51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6" w:type="dxa"/>
          </w:tcPr>
          <w:p w14:paraId="6FE7E919" w14:textId="507A128C" w:rsidR="00D96ED6" w:rsidRPr="006F65F8" w:rsidRDefault="006F65F8" w:rsidP="006C32AD">
            <w:pPr>
              <w:spacing w:before="120"/>
              <w:rPr>
                <w:color w:val="FFFFFF" w:themeColor="background1"/>
                <w:sz w:val="20"/>
                <w:szCs w:val="20"/>
              </w:rPr>
            </w:pPr>
            <w:r>
              <w:rPr>
                <w:color w:val="FFFFFF" w:themeColor="background1"/>
                <w:sz w:val="20"/>
                <w:szCs w:val="20"/>
              </w:rPr>
              <w:t>Title</w:t>
            </w:r>
          </w:p>
        </w:tc>
        <w:tc>
          <w:tcPr>
            <w:tcW w:w="2556" w:type="dxa"/>
          </w:tcPr>
          <w:p w14:paraId="2EE665B6" w14:textId="219FDB10" w:rsidR="000A51C8" w:rsidRPr="006F65F8" w:rsidRDefault="006F65F8" w:rsidP="00FD07AF">
            <w:pP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color w:val="FFFFFF" w:themeColor="background1"/>
                <w:sz w:val="20"/>
                <w:szCs w:val="20"/>
              </w:rPr>
              <w:t>Name</w:t>
            </w:r>
          </w:p>
        </w:tc>
        <w:tc>
          <w:tcPr>
            <w:tcW w:w="2556" w:type="dxa"/>
          </w:tcPr>
          <w:p w14:paraId="57D8B3E2" w14:textId="104E7E5F" w:rsidR="000A51C8" w:rsidRPr="006F65F8" w:rsidRDefault="006F65F8" w:rsidP="00FD07AF">
            <w:pP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color w:val="FFFFFF" w:themeColor="background1"/>
                <w:sz w:val="20"/>
                <w:szCs w:val="20"/>
              </w:rPr>
              <w:t>Email Address</w:t>
            </w:r>
          </w:p>
        </w:tc>
        <w:tc>
          <w:tcPr>
            <w:tcW w:w="2556" w:type="dxa"/>
          </w:tcPr>
          <w:p w14:paraId="2F79CADB" w14:textId="56979DD8" w:rsidR="000A51C8" w:rsidRPr="006F65F8" w:rsidRDefault="00AD4AE9" w:rsidP="00FD07AF">
            <w:pP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color w:val="FFFFFF" w:themeColor="background1"/>
                <w:sz w:val="20"/>
                <w:szCs w:val="20"/>
              </w:rPr>
              <w:t>Telephone Number</w:t>
            </w:r>
          </w:p>
        </w:tc>
      </w:tr>
      <w:tr w:rsidR="009F4130" w:rsidRPr="005F4833" w14:paraId="116CE547" w14:textId="77777777" w:rsidTr="000A51C8">
        <w:tc>
          <w:tcPr>
            <w:cnfStyle w:val="001000000000" w:firstRow="0" w:lastRow="0" w:firstColumn="1" w:lastColumn="0" w:oddVBand="0" w:evenVBand="0" w:oddHBand="0" w:evenHBand="0" w:firstRowFirstColumn="0" w:firstRowLastColumn="0" w:lastRowFirstColumn="0" w:lastRowLastColumn="0"/>
            <w:tcW w:w="2556" w:type="dxa"/>
          </w:tcPr>
          <w:p w14:paraId="49A128DB" w14:textId="2F575CEE" w:rsidR="009F4130" w:rsidRPr="005F4833" w:rsidRDefault="009F4130" w:rsidP="009F4130">
            <w:pPr>
              <w:jc w:val="left"/>
              <w:rPr>
                <w:sz w:val="20"/>
                <w:szCs w:val="20"/>
              </w:rPr>
            </w:pPr>
            <w:r w:rsidRPr="005F4833">
              <w:rPr>
                <w:sz w:val="20"/>
                <w:szCs w:val="20"/>
              </w:rPr>
              <w:t>VP Student Services</w:t>
            </w:r>
          </w:p>
        </w:tc>
        <w:tc>
          <w:tcPr>
            <w:tcW w:w="2556" w:type="dxa"/>
          </w:tcPr>
          <w:p w14:paraId="46A92AC8" w14:textId="07045405"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b w:val="0"/>
                <w:sz w:val="20"/>
                <w:szCs w:val="20"/>
              </w:rPr>
              <w:t>Deanna Rainbow</w:t>
            </w:r>
          </w:p>
        </w:tc>
        <w:tc>
          <w:tcPr>
            <w:tcW w:w="2556" w:type="dxa"/>
          </w:tcPr>
          <w:p w14:paraId="62DB1099" w14:textId="163DFE38"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b w:val="0"/>
                <w:sz w:val="20"/>
                <w:szCs w:val="20"/>
              </w:rPr>
              <w:t>drainb</w:t>
            </w:r>
            <w:r w:rsidRPr="005F4833">
              <w:rPr>
                <w:rFonts w:asciiTheme="majorHAnsi" w:hAnsiTheme="majorHAnsi"/>
                <w:b w:val="0"/>
                <w:sz w:val="20"/>
                <w:szCs w:val="20"/>
              </w:rPr>
              <w:t>@nhsc.edu</w:t>
            </w:r>
          </w:p>
        </w:tc>
        <w:tc>
          <w:tcPr>
            <w:tcW w:w="2556" w:type="dxa"/>
          </w:tcPr>
          <w:p w14:paraId="0918A48A" w14:textId="0FF40F70"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5F4833">
              <w:rPr>
                <w:rFonts w:asciiTheme="majorHAnsi" w:hAnsiTheme="majorHAnsi"/>
                <w:b w:val="0"/>
                <w:sz w:val="20"/>
                <w:szCs w:val="20"/>
              </w:rPr>
              <w:t>(701) 627-80</w:t>
            </w:r>
            <w:r w:rsidR="00933CEF">
              <w:rPr>
                <w:rFonts w:asciiTheme="majorHAnsi" w:hAnsiTheme="majorHAnsi"/>
                <w:b w:val="0"/>
                <w:sz w:val="20"/>
                <w:szCs w:val="20"/>
              </w:rPr>
              <w:t>36</w:t>
            </w:r>
          </w:p>
        </w:tc>
      </w:tr>
      <w:tr w:rsidR="009F4130" w:rsidRPr="005F4833" w14:paraId="6AF2D669" w14:textId="77777777" w:rsidTr="000A51C8">
        <w:tc>
          <w:tcPr>
            <w:cnfStyle w:val="001000000000" w:firstRow="0" w:lastRow="0" w:firstColumn="1" w:lastColumn="0" w:oddVBand="0" w:evenVBand="0" w:oddHBand="0" w:evenHBand="0" w:firstRowFirstColumn="0" w:firstRowLastColumn="0" w:lastRowFirstColumn="0" w:lastRowLastColumn="0"/>
            <w:tcW w:w="2556" w:type="dxa"/>
          </w:tcPr>
          <w:p w14:paraId="26EE29B7" w14:textId="34CCD45C" w:rsidR="009F4130" w:rsidRPr="005F4833" w:rsidRDefault="009F4130" w:rsidP="009F4130">
            <w:pPr>
              <w:jc w:val="left"/>
              <w:rPr>
                <w:color w:val="auto"/>
                <w:sz w:val="20"/>
                <w:szCs w:val="20"/>
              </w:rPr>
            </w:pPr>
            <w:r w:rsidRPr="005F4833">
              <w:rPr>
                <w:sz w:val="20"/>
                <w:szCs w:val="20"/>
              </w:rPr>
              <w:t xml:space="preserve">VP Student Services, Title IX Coordinator </w:t>
            </w:r>
          </w:p>
        </w:tc>
        <w:tc>
          <w:tcPr>
            <w:tcW w:w="2556" w:type="dxa"/>
          </w:tcPr>
          <w:p w14:paraId="19C30E8D" w14:textId="5D944F91"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Dr. Constance King-Gottschall</w:t>
            </w:r>
          </w:p>
        </w:tc>
        <w:tc>
          <w:tcPr>
            <w:tcW w:w="2556" w:type="dxa"/>
          </w:tcPr>
          <w:p w14:paraId="6B11EC1F" w14:textId="0CAF2331"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Cfrank@nhsc.edu</w:t>
            </w:r>
          </w:p>
        </w:tc>
        <w:tc>
          <w:tcPr>
            <w:tcW w:w="2556" w:type="dxa"/>
          </w:tcPr>
          <w:p w14:paraId="299C443E" w14:textId="04F95B64"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(701) 627-8015</w:t>
            </w:r>
          </w:p>
        </w:tc>
      </w:tr>
      <w:tr w:rsidR="009F4130" w:rsidRPr="005F4833" w14:paraId="0A9EFFB0" w14:textId="77777777" w:rsidTr="000A51C8">
        <w:tc>
          <w:tcPr>
            <w:cnfStyle w:val="001000000000" w:firstRow="0" w:lastRow="0" w:firstColumn="1" w:lastColumn="0" w:oddVBand="0" w:evenVBand="0" w:oddHBand="0" w:evenHBand="0" w:firstRowFirstColumn="0" w:firstRowLastColumn="0" w:lastRowFirstColumn="0" w:lastRowLastColumn="0"/>
            <w:tcW w:w="2556" w:type="dxa"/>
          </w:tcPr>
          <w:p w14:paraId="01187CD3" w14:textId="69E9868D" w:rsidR="009F4130" w:rsidRPr="005F4833" w:rsidRDefault="009F4130" w:rsidP="009F4130">
            <w:pPr>
              <w:jc w:val="left"/>
              <w:rPr>
                <w:sz w:val="20"/>
                <w:szCs w:val="20"/>
              </w:rPr>
            </w:pPr>
            <w:r w:rsidRPr="005F4833">
              <w:rPr>
                <w:sz w:val="20"/>
                <w:szCs w:val="20"/>
              </w:rPr>
              <w:t>SSAVE Coordinator</w:t>
            </w:r>
          </w:p>
        </w:tc>
        <w:tc>
          <w:tcPr>
            <w:tcW w:w="2556" w:type="dxa"/>
          </w:tcPr>
          <w:p w14:paraId="237955BD" w14:textId="14E287E4"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Carla Villamil</w:t>
            </w:r>
          </w:p>
        </w:tc>
        <w:tc>
          <w:tcPr>
            <w:tcW w:w="2556" w:type="dxa"/>
          </w:tcPr>
          <w:p w14:paraId="00DAF826" w14:textId="2945E72F"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cvillamil@nhsc.edu</w:t>
            </w:r>
          </w:p>
        </w:tc>
        <w:tc>
          <w:tcPr>
            <w:tcW w:w="2556" w:type="dxa"/>
          </w:tcPr>
          <w:p w14:paraId="6B6E8987" w14:textId="652DF310"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(701) 627-8064</w:t>
            </w:r>
          </w:p>
        </w:tc>
      </w:tr>
      <w:tr w:rsidR="009F4130" w:rsidRPr="005F4833" w14:paraId="01A2780B" w14:textId="77777777" w:rsidTr="000A51C8">
        <w:tc>
          <w:tcPr>
            <w:cnfStyle w:val="001000000000" w:firstRow="0" w:lastRow="0" w:firstColumn="1" w:lastColumn="0" w:oddVBand="0" w:evenVBand="0" w:oddHBand="0" w:evenHBand="0" w:firstRowFirstColumn="0" w:firstRowLastColumn="0" w:lastRowFirstColumn="0" w:lastRowLastColumn="0"/>
            <w:tcW w:w="2556" w:type="dxa"/>
          </w:tcPr>
          <w:p w14:paraId="10C3BF1C" w14:textId="7D1BFCBE" w:rsidR="009F4130" w:rsidRPr="005F4833" w:rsidRDefault="009F4130" w:rsidP="009F4130">
            <w:pPr>
              <w:jc w:val="left"/>
              <w:rPr>
                <w:sz w:val="20"/>
                <w:szCs w:val="20"/>
              </w:rPr>
            </w:pPr>
            <w:r w:rsidRPr="005F4833">
              <w:rPr>
                <w:sz w:val="20"/>
                <w:szCs w:val="20"/>
              </w:rPr>
              <w:t>VP Academics</w:t>
            </w:r>
          </w:p>
        </w:tc>
        <w:tc>
          <w:tcPr>
            <w:tcW w:w="2556" w:type="dxa"/>
          </w:tcPr>
          <w:p w14:paraId="4087432E" w14:textId="04BEB03E"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Robert Rainbow</w:t>
            </w:r>
          </w:p>
        </w:tc>
        <w:tc>
          <w:tcPr>
            <w:tcW w:w="2556" w:type="dxa"/>
          </w:tcPr>
          <w:p w14:paraId="2029036B" w14:textId="723E9628"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rrainb@nhsc.edu</w:t>
            </w:r>
          </w:p>
        </w:tc>
        <w:tc>
          <w:tcPr>
            <w:tcW w:w="2556" w:type="dxa"/>
          </w:tcPr>
          <w:p w14:paraId="6074F331" w14:textId="04C34852"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(701) 627-8082</w:t>
            </w:r>
          </w:p>
        </w:tc>
      </w:tr>
      <w:tr w:rsidR="009F4130" w:rsidRPr="005F4833" w14:paraId="79B946D9" w14:textId="77777777" w:rsidTr="000A51C8">
        <w:tc>
          <w:tcPr>
            <w:cnfStyle w:val="001000000000" w:firstRow="0" w:lastRow="0" w:firstColumn="1" w:lastColumn="0" w:oddVBand="0" w:evenVBand="0" w:oddHBand="0" w:evenHBand="0" w:firstRowFirstColumn="0" w:firstRowLastColumn="0" w:lastRowFirstColumn="0" w:lastRowLastColumn="0"/>
            <w:tcW w:w="2556" w:type="dxa"/>
          </w:tcPr>
          <w:p w14:paraId="50E3FE49" w14:textId="7F0692FB" w:rsidR="009F4130" w:rsidRPr="005F4833" w:rsidRDefault="009F4130" w:rsidP="009F4130">
            <w:pPr>
              <w:jc w:val="left"/>
              <w:rPr>
                <w:sz w:val="20"/>
                <w:szCs w:val="20"/>
              </w:rPr>
            </w:pPr>
            <w:r w:rsidRPr="005F4833">
              <w:rPr>
                <w:sz w:val="20"/>
                <w:szCs w:val="20"/>
              </w:rPr>
              <w:t>Dean of Academics</w:t>
            </w:r>
          </w:p>
        </w:tc>
        <w:tc>
          <w:tcPr>
            <w:tcW w:w="2556" w:type="dxa"/>
          </w:tcPr>
          <w:p w14:paraId="559F0A84" w14:textId="70A4CC15"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Dr. Kerry Hartman</w:t>
            </w:r>
          </w:p>
        </w:tc>
        <w:tc>
          <w:tcPr>
            <w:tcW w:w="2556" w:type="dxa"/>
          </w:tcPr>
          <w:p w14:paraId="516340A5" w14:textId="209EC2BB"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khartm@nhsc.edu</w:t>
            </w:r>
          </w:p>
        </w:tc>
        <w:tc>
          <w:tcPr>
            <w:tcW w:w="2556" w:type="dxa"/>
          </w:tcPr>
          <w:p w14:paraId="67B3D9D9" w14:textId="2B335824"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(701) 627-8053</w:t>
            </w:r>
          </w:p>
        </w:tc>
      </w:tr>
      <w:tr w:rsidR="009F4130" w:rsidRPr="005F4833" w14:paraId="4786A3B1" w14:textId="77777777" w:rsidTr="000A51C8">
        <w:tc>
          <w:tcPr>
            <w:cnfStyle w:val="001000000000" w:firstRow="0" w:lastRow="0" w:firstColumn="1" w:lastColumn="0" w:oddVBand="0" w:evenVBand="0" w:oddHBand="0" w:evenHBand="0" w:firstRowFirstColumn="0" w:firstRowLastColumn="0" w:lastRowFirstColumn="0" w:lastRowLastColumn="0"/>
            <w:tcW w:w="2556" w:type="dxa"/>
          </w:tcPr>
          <w:p w14:paraId="53DFFE0C" w14:textId="5393445E" w:rsidR="009F4130" w:rsidRPr="005F4833" w:rsidRDefault="009F4130" w:rsidP="009F4130">
            <w:pPr>
              <w:jc w:val="left"/>
              <w:rPr>
                <w:sz w:val="20"/>
                <w:szCs w:val="20"/>
              </w:rPr>
            </w:pPr>
            <w:r w:rsidRPr="005F4833">
              <w:rPr>
                <w:sz w:val="20"/>
                <w:szCs w:val="20"/>
              </w:rPr>
              <w:t>VP of Campus Services</w:t>
            </w:r>
          </w:p>
        </w:tc>
        <w:tc>
          <w:tcPr>
            <w:tcW w:w="2556" w:type="dxa"/>
          </w:tcPr>
          <w:p w14:paraId="5321FF14" w14:textId="023DAB34"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Dr. Jennifer Janacek-Hartman</w:t>
            </w:r>
          </w:p>
        </w:tc>
        <w:tc>
          <w:tcPr>
            <w:tcW w:w="2556" w:type="dxa"/>
          </w:tcPr>
          <w:p w14:paraId="5A43919C" w14:textId="707A64AC"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jjanec@nhsc.edu</w:t>
            </w:r>
          </w:p>
        </w:tc>
        <w:tc>
          <w:tcPr>
            <w:tcW w:w="2556" w:type="dxa"/>
          </w:tcPr>
          <w:p w14:paraId="6D35E45D" w14:textId="70A0157D"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(701) 627-8028</w:t>
            </w:r>
          </w:p>
        </w:tc>
      </w:tr>
      <w:tr w:rsidR="009F4130" w:rsidRPr="005F4833" w14:paraId="1BDB6D6D" w14:textId="77777777" w:rsidTr="000A51C8">
        <w:tc>
          <w:tcPr>
            <w:cnfStyle w:val="001000000000" w:firstRow="0" w:lastRow="0" w:firstColumn="1" w:lastColumn="0" w:oddVBand="0" w:evenVBand="0" w:oddHBand="0" w:evenHBand="0" w:firstRowFirstColumn="0" w:firstRowLastColumn="0" w:lastRowFirstColumn="0" w:lastRowLastColumn="0"/>
            <w:tcW w:w="2556" w:type="dxa"/>
          </w:tcPr>
          <w:p w14:paraId="1342AA53" w14:textId="28D0CC60" w:rsidR="009F4130" w:rsidRPr="005F4833" w:rsidRDefault="009F4130" w:rsidP="009F4130">
            <w:pPr>
              <w:jc w:val="left"/>
              <w:rPr>
                <w:sz w:val="20"/>
                <w:szCs w:val="20"/>
              </w:rPr>
            </w:pPr>
            <w:r w:rsidRPr="005F4833">
              <w:rPr>
                <w:sz w:val="20"/>
                <w:szCs w:val="20"/>
              </w:rPr>
              <w:lastRenderedPageBreak/>
              <w:t>Athletic</w:t>
            </w:r>
            <w:r>
              <w:rPr>
                <w:sz w:val="20"/>
                <w:szCs w:val="20"/>
              </w:rPr>
              <w:t>s</w:t>
            </w:r>
          </w:p>
        </w:tc>
        <w:tc>
          <w:tcPr>
            <w:tcW w:w="2556" w:type="dxa"/>
          </w:tcPr>
          <w:p w14:paraId="7F8CF0A4" w14:textId="455E9C04"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Pr>
                <w:rFonts w:asciiTheme="majorHAnsi" w:hAnsiTheme="majorHAnsi"/>
                <w:b w:val="0"/>
                <w:sz w:val="20"/>
                <w:szCs w:val="20"/>
              </w:rPr>
              <w:t>Robert Rainbow</w:t>
            </w:r>
          </w:p>
        </w:tc>
        <w:tc>
          <w:tcPr>
            <w:tcW w:w="2556" w:type="dxa"/>
          </w:tcPr>
          <w:p w14:paraId="5CF8B026" w14:textId="30BEEF85"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Pr>
                <w:rFonts w:asciiTheme="majorHAnsi" w:hAnsiTheme="majorHAnsi"/>
                <w:b w:val="0"/>
                <w:sz w:val="20"/>
                <w:szCs w:val="20"/>
              </w:rPr>
              <w:t>rrainb</w:t>
            </w:r>
            <w:r w:rsidRPr="005F4833">
              <w:rPr>
                <w:rFonts w:asciiTheme="majorHAnsi" w:hAnsiTheme="majorHAnsi"/>
                <w:b w:val="0"/>
                <w:sz w:val="20"/>
                <w:szCs w:val="20"/>
              </w:rPr>
              <w:t>@nhsc.edu</w:t>
            </w:r>
          </w:p>
        </w:tc>
        <w:tc>
          <w:tcPr>
            <w:tcW w:w="2556" w:type="dxa"/>
          </w:tcPr>
          <w:p w14:paraId="4B8A8349" w14:textId="107CAF25"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(701) 627-80</w:t>
            </w:r>
            <w:r>
              <w:rPr>
                <w:rFonts w:asciiTheme="majorHAnsi" w:hAnsiTheme="majorHAnsi"/>
                <w:b w:val="0"/>
                <w:sz w:val="20"/>
                <w:szCs w:val="20"/>
              </w:rPr>
              <w:t>82</w:t>
            </w:r>
          </w:p>
        </w:tc>
      </w:tr>
      <w:tr w:rsidR="009F4130" w14:paraId="53CF9AFC" w14:textId="77777777" w:rsidTr="000A51C8">
        <w:tc>
          <w:tcPr>
            <w:cnfStyle w:val="001000000000" w:firstRow="0" w:lastRow="0" w:firstColumn="1" w:lastColumn="0" w:oddVBand="0" w:evenVBand="0" w:oddHBand="0" w:evenHBand="0" w:firstRowFirstColumn="0" w:firstRowLastColumn="0" w:lastRowFirstColumn="0" w:lastRowLastColumn="0"/>
            <w:tcW w:w="2556" w:type="dxa"/>
          </w:tcPr>
          <w:p w14:paraId="4C01A346" w14:textId="4B5CEAFA" w:rsidR="009F4130" w:rsidRPr="005F4833" w:rsidRDefault="009F4130" w:rsidP="009F4130">
            <w:pPr>
              <w:jc w:val="left"/>
              <w:rPr>
                <w:sz w:val="20"/>
                <w:szCs w:val="20"/>
              </w:rPr>
            </w:pPr>
            <w:r w:rsidRPr="005F4833">
              <w:rPr>
                <w:sz w:val="20"/>
                <w:szCs w:val="20"/>
              </w:rPr>
              <w:t>Campus Safety Director</w:t>
            </w:r>
          </w:p>
        </w:tc>
        <w:tc>
          <w:tcPr>
            <w:tcW w:w="2556" w:type="dxa"/>
          </w:tcPr>
          <w:p w14:paraId="75E18281" w14:textId="6168E4B9"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Deon Carter</w:t>
            </w:r>
          </w:p>
        </w:tc>
        <w:tc>
          <w:tcPr>
            <w:tcW w:w="2556" w:type="dxa"/>
          </w:tcPr>
          <w:p w14:paraId="6758730A" w14:textId="06147196"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dcarter@nhsc.edu</w:t>
            </w:r>
          </w:p>
        </w:tc>
        <w:tc>
          <w:tcPr>
            <w:tcW w:w="2556" w:type="dxa"/>
          </w:tcPr>
          <w:p w14:paraId="4742414A" w14:textId="58DCD039"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(701) 421-0023</w:t>
            </w:r>
          </w:p>
        </w:tc>
      </w:tr>
      <w:tr w:rsidR="009F4130" w14:paraId="3C0B2796" w14:textId="77777777" w:rsidTr="000A51C8">
        <w:tc>
          <w:tcPr>
            <w:cnfStyle w:val="001000000000" w:firstRow="0" w:lastRow="0" w:firstColumn="1" w:lastColumn="0" w:oddVBand="0" w:evenVBand="0" w:oddHBand="0" w:evenHBand="0" w:firstRowFirstColumn="0" w:firstRowLastColumn="0" w:lastRowFirstColumn="0" w:lastRowLastColumn="0"/>
            <w:tcW w:w="2556" w:type="dxa"/>
          </w:tcPr>
          <w:p w14:paraId="5E798CFD" w14:textId="48A0F42A" w:rsidR="009F4130" w:rsidRPr="005F4833" w:rsidRDefault="009F4130" w:rsidP="009F4130">
            <w:pPr>
              <w:jc w:val="left"/>
              <w:rPr>
                <w:sz w:val="20"/>
                <w:szCs w:val="20"/>
              </w:rPr>
            </w:pPr>
            <w:r w:rsidRPr="005F4833">
              <w:rPr>
                <w:sz w:val="20"/>
                <w:szCs w:val="20"/>
              </w:rPr>
              <w:t>Maintenance Supervisor</w:t>
            </w:r>
          </w:p>
        </w:tc>
        <w:tc>
          <w:tcPr>
            <w:tcW w:w="2556" w:type="dxa"/>
          </w:tcPr>
          <w:p w14:paraId="78229EC6" w14:textId="57991805"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Wes Davidson</w:t>
            </w:r>
          </w:p>
        </w:tc>
        <w:tc>
          <w:tcPr>
            <w:tcW w:w="2556" w:type="dxa"/>
          </w:tcPr>
          <w:p w14:paraId="6331FC1A" w14:textId="5D9D8060"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wdavid@nhsc.edu</w:t>
            </w:r>
          </w:p>
        </w:tc>
        <w:tc>
          <w:tcPr>
            <w:tcW w:w="2556" w:type="dxa"/>
          </w:tcPr>
          <w:p w14:paraId="0FA15A20" w14:textId="2794FEAB"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(701) 421-1523</w:t>
            </w:r>
          </w:p>
        </w:tc>
      </w:tr>
      <w:tr w:rsidR="009F4130" w14:paraId="6E6DCC16" w14:textId="77777777" w:rsidTr="000A51C8">
        <w:tc>
          <w:tcPr>
            <w:cnfStyle w:val="001000000000" w:firstRow="0" w:lastRow="0" w:firstColumn="1" w:lastColumn="0" w:oddVBand="0" w:evenVBand="0" w:oddHBand="0" w:evenHBand="0" w:firstRowFirstColumn="0" w:firstRowLastColumn="0" w:lastRowFirstColumn="0" w:lastRowLastColumn="0"/>
            <w:tcW w:w="2556" w:type="dxa"/>
          </w:tcPr>
          <w:p w14:paraId="4C06A03E" w14:textId="305B0F05" w:rsidR="009F4130" w:rsidRPr="005F4833" w:rsidRDefault="009F4130" w:rsidP="009F4130">
            <w:pPr>
              <w:jc w:val="left"/>
              <w:rPr>
                <w:sz w:val="20"/>
                <w:szCs w:val="20"/>
              </w:rPr>
            </w:pPr>
            <w:r w:rsidRPr="005F4833">
              <w:rPr>
                <w:sz w:val="20"/>
                <w:szCs w:val="20"/>
              </w:rPr>
              <w:t>Maintenance Personnel</w:t>
            </w:r>
          </w:p>
        </w:tc>
        <w:tc>
          <w:tcPr>
            <w:tcW w:w="2556" w:type="dxa"/>
          </w:tcPr>
          <w:p w14:paraId="353E512D" w14:textId="387F9604" w:rsidR="009F4130" w:rsidRPr="005F4833" w:rsidRDefault="00933CEF"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Pr>
                <w:rFonts w:asciiTheme="majorHAnsi" w:hAnsiTheme="majorHAnsi"/>
                <w:b w:val="0"/>
                <w:sz w:val="20"/>
                <w:szCs w:val="20"/>
              </w:rPr>
              <w:t>Alex Kraft</w:t>
            </w:r>
          </w:p>
        </w:tc>
        <w:tc>
          <w:tcPr>
            <w:tcW w:w="2556" w:type="dxa"/>
          </w:tcPr>
          <w:p w14:paraId="32BCFF58" w14:textId="1C60B602"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a</w:t>
            </w:r>
            <w:r w:rsidR="00933CEF">
              <w:rPr>
                <w:rFonts w:asciiTheme="majorHAnsi" w:hAnsiTheme="majorHAnsi"/>
                <w:b w:val="0"/>
                <w:sz w:val="20"/>
                <w:szCs w:val="20"/>
              </w:rPr>
              <w:t>kraft</w:t>
            </w:r>
            <w:r w:rsidRPr="005F4833">
              <w:rPr>
                <w:rFonts w:asciiTheme="majorHAnsi" w:hAnsiTheme="majorHAnsi"/>
                <w:b w:val="0"/>
                <w:sz w:val="20"/>
                <w:szCs w:val="20"/>
              </w:rPr>
              <w:t>@nhsc.edu</w:t>
            </w:r>
          </w:p>
        </w:tc>
        <w:tc>
          <w:tcPr>
            <w:tcW w:w="2556" w:type="dxa"/>
          </w:tcPr>
          <w:p w14:paraId="179C9E33" w14:textId="73C47559"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 xml:space="preserve">(701) </w:t>
            </w:r>
            <w:r w:rsidR="00B15755">
              <w:rPr>
                <w:rFonts w:asciiTheme="majorHAnsi" w:hAnsiTheme="majorHAnsi"/>
                <w:b w:val="0"/>
                <w:sz w:val="20"/>
                <w:szCs w:val="20"/>
              </w:rPr>
              <w:t>421-</w:t>
            </w:r>
            <w:r w:rsidR="00AA4A25">
              <w:rPr>
                <w:rFonts w:asciiTheme="majorHAnsi" w:hAnsiTheme="majorHAnsi"/>
                <w:b w:val="0"/>
                <w:sz w:val="20"/>
                <w:szCs w:val="20"/>
              </w:rPr>
              <w:t>2828</w:t>
            </w:r>
          </w:p>
        </w:tc>
      </w:tr>
      <w:tr w:rsidR="009F4130" w14:paraId="0A15263D" w14:textId="77777777" w:rsidTr="000A51C8">
        <w:tc>
          <w:tcPr>
            <w:cnfStyle w:val="001000000000" w:firstRow="0" w:lastRow="0" w:firstColumn="1" w:lastColumn="0" w:oddVBand="0" w:evenVBand="0" w:oddHBand="0" w:evenHBand="0" w:firstRowFirstColumn="0" w:firstRowLastColumn="0" w:lastRowFirstColumn="0" w:lastRowLastColumn="0"/>
            <w:tcW w:w="2556" w:type="dxa"/>
          </w:tcPr>
          <w:p w14:paraId="22BCD1BF" w14:textId="07A352C4" w:rsidR="009F4130" w:rsidRPr="00A56A02" w:rsidRDefault="009F4130" w:rsidP="009F4130">
            <w:pPr>
              <w:jc w:val="left"/>
              <w:rPr>
                <w:sz w:val="20"/>
                <w:szCs w:val="20"/>
              </w:rPr>
            </w:pPr>
            <w:r w:rsidRPr="00A56A02">
              <w:rPr>
                <w:sz w:val="20"/>
                <w:szCs w:val="20"/>
              </w:rPr>
              <w:t>Maintenance Personnel</w:t>
            </w:r>
          </w:p>
        </w:tc>
        <w:tc>
          <w:tcPr>
            <w:tcW w:w="2556" w:type="dxa"/>
          </w:tcPr>
          <w:p w14:paraId="40C758BD" w14:textId="0D18EF62" w:rsidR="009F4130" w:rsidRPr="00A56A02" w:rsidRDefault="00905809"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Pr>
                <w:rFonts w:asciiTheme="majorHAnsi" w:hAnsiTheme="majorHAnsi"/>
                <w:b w:val="0"/>
                <w:sz w:val="20"/>
                <w:szCs w:val="20"/>
              </w:rPr>
              <w:t>Chris</w:t>
            </w:r>
            <w:r w:rsidR="000F3AFB">
              <w:rPr>
                <w:rFonts w:asciiTheme="majorHAnsi" w:hAnsiTheme="majorHAnsi"/>
                <w:b w:val="0"/>
                <w:sz w:val="20"/>
                <w:szCs w:val="20"/>
              </w:rPr>
              <w:t xml:space="preserve"> Eoff</w:t>
            </w:r>
          </w:p>
        </w:tc>
        <w:tc>
          <w:tcPr>
            <w:tcW w:w="2556" w:type="dxa"/>
          </w:tcPr>
          <w:p w14:paraId="3AA42805" w14:textId="69D9B954" w:rsidR="009F4130" w:rsidRPr="000F3AFB" w:rsidRDefault="002352FA"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bCs/>
                <w:color w:val="auto"/>
                <w:sz w:val="20"/>
                <w:szCs w:val="20"/>
              </w:rPr>
            </w:pPr>
            <w:r>
              <w:rPr>
                <w:rFonts w:asciiTheme="majorHAnsi" w:hAnsiTheme="majorHAnsi"/>
                <w:b w:val="0"/>
                <w:bCs/>
                <w:color w:val="auto"/>
                <w:sz w:val="20"/>
                <w:szCs w:val="20"/>
              </w:rPr>
              <w:t>ceoff@nhsc.edu</w:t>
            </w:r>
          </w:p>
        </w:tc>
        <w:tc>
          <w:tcPr>
            <w:tcW w:w="2556" w:type="dxa"/>
          </w:tcPr>
          <w:p w14:paraId="46A02E18" w14:textId="65031CA6" w:rsidR="009F4130" w:rsidRPr="00A56A02"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A56A02">
              <w:rPr>
                <w:rFonts w:asciiTheme="majorHAnsi" w:hAnsiTheme="majorHAnsi"/>
                <w:b w:val="0"/>
                <w:sz w:val="20"/>
                <w:szCs w:val="20"/>
              </w:rPr>
              <w:t xml:space="preserve">(701) </w:t>
            </w:r>
            <w:r w:rsidR="002352FA">
              <w:rPr>
                <w:rFonts w:asciiTheme="majorHAnsi" w:hAnsiTheme="majorHAnsi"/>
                <w:b w:val="0"/>
                <w:sz w:val="20"/>
                <w:szCs w:val="20"/>
              </w:rPr>
              <w:t>421</w:t>
            </w:r>
            <w:r w:rsidR="00B15755">
              <w:rPr>
                <w:rFonts w:asciiTheme="majorHAnsi" w:hAnsiTheme="majorHAnsi"/>
                <w:b w:val="0"/>
                <w:sz w:val="20"/>
                <w:szCs w:val="20"/>
              </w:rPr>
              <w:t>-5738</w:t>
            </w:r>
          </w:p>
        </w:tc>
      </w:tr>
      <w:tr w:rsidR="009F4130" w14:paraId="47DD5ABF" w14:textId="77777777" w:rsidTr="000A51C8">
        <w:tc>
          <w:tcPr>
            <w:cnfStyle w:val="001000000000" w:firstRow="0" w:lastRow="0" w:firstColumn="1" w:lastColumn="0" w:oddVBand="0" w:evenVBand="0" w:oddHBand="0" w:evenHBand="0" w:firstRowFirstColumn="0" w:firstRowLastColumn="0" w:lastRowFirstColumn="0" w:lastRowLastColumn="0"/>
            <w:tcW w:w="2556" w:type="dxa"/>
          </w:tcPr>
          <w:p w14:paraId="053B65BA" w14:textId="2661AA91" w:rsidR="009F4130" w:rsidRPr="005F4833" w:rsidRDefault="009F4130" w:rsidP="009F4130">
            <w:pPr>
              <w:jc w:val="left"/>
              <w:rPr>
                <w:sz w:val="20"/>
                <w:szCs w:val="20"/>
              </w:rPr>
            </w:pPr>
            <w:r w:rsidRPr="005F4833">
              <w:rPr>
                <w:sz w:val="20"/>
                <w:szCs w:val="20"/>
              </w:rPr>
              <w:t>Student Senate and AISES Supervisor</w:t>
            </w:r>
          </w:p>
        </w:tc>
        <w:tc>
          <w:tcPr>
            <w:tcW w:w="2556" w:type="dxa"/>
          </w:tcPr>
          <w:p w14:paraId="52BA3C41" w14:textId="2E7E8C57"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Amber Finley</w:t>
            </w:r>
          </w:p>
        </w:tc>
        <w:tc>
          <w:tcPr>
            <w:tcW w:w="2556" w:type="dxa"/>
          </w:tcPr>
          <w:p w14:paraId="4DA65F7B" w14:textId="3BE31286"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afinle@nhsc.edu</w:t>
            </w:r>
          </w:p>
        </w:tc>
        <w:tc>
          <w:tcPr>
            <w:tcW w:w="2556" w:type="dxa"/>
          </w:tcPr>
          <w:p w14:paraId="02A9D1AC" w14:textId="13BDFE74"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(701) 627-8087</w:t>
            </w:r>
          </w:p>
        </w:tc>
      </w:tr>
      <w:tr w:rsidR="009F4130" w14:paraId="498C833F" w14:textId="77777777" w:rsidTr="000A51C8">
        <w:tc>
          <w:tcPr>
            <w:cnfStyle w:val="001000000000" w:firstRow="0" w:lastRow="0" w:firstColumn="1" w:lastColumn="0" w:oddVBand="0" w:evenVBand="0" w:oddHBand="0" w:evenHBand="0" w:firstRowFirstColumn="0" w:firstRowLastColumn="0" w:lastRowFirstColumn="0" w:lastRowLastColumn="0"/>
            <w:tcW w:w="2556" w:type="dxa"/>
          </w:tcPr>
          <w:p w14:paraId="11EF3220" w14:textId="1A22EE9B" w:rsidR="009F4130" w:rsidRPr="005F4833" w:rsidRDefault="009F4130" w:rsidP="009F4130">
            <w:pPr>
              <w:jc w:val="left"/>
              <w:rPr>
                <w:sz w:val="20"/>
                <w:szCs w:val="20"/>
              </w:rPr>
            </w:pPr>
            <w:r w:rsidRPr="005F4833">
              <w:rPr>
                <w:sz w:val="20"/>
                <w:szCs w:val="20"/>
              </w:rPr>
              <w:t>AIBL Supervisor</w:t>
            </w:r>
          </w:p>
        </w:tc>
        <w:tc>
          <w:tcPr>
            <w:tcW w:w="2556" w:type="dxa"/>
          </w:tcPr>
          <w:p w14:paraId="2062ACD9" w14:textId="31C29142"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Pansy Goodall</w:t>
            </w:r>
          </w:p>
        </w:tc>
        <w:tc>
          <w:tcPr>
            <w:tcW w:w="2556" w:type="dxa"/>
          </w:tcPr>
          <w:p w14:paraId="048DD5A8" w14:textId="5F780721"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pgooda@nhsc.edu</w:t>
            </w:r>
          </w:p>
        </w:tc>
        <w:tc>
          <w:tcPr>
            <w:tcW w:w="2556" w:type="dxa"/>
          </w:tcPr>
          <w:p w14:paraId="504A32D2" w14:textId="1AFFE125"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(701) 627-8079</w:t>
            </w:r>
          </w:p>
        </w:tc>
      </w:tr>
      <w:tr w:rsidR="009F4130" w14:paraId="3CF6CF8A" w14:textId="77777777" w:rsidTr="000A51C8">
        <w:tc>
          <w:tcPr>
            <w:cnfStyle w:val="001000000000" w:firstRow="0" w:lastRow="0" w:firstColumn="1" w:lastColumn="0" w:oddVBand="0" w:evenVBand="0" w:oddHBand="0" w:evenHBand="0" w:firstRowFirstColumn="0" w:firstRowLastColumn="0" w:lastRowFirstColumn="0" w:lastRowLastColumn="0"/>
            <w:tcW w:w="2556" w:type="dxa"/>
          </w:tcPr>
          <w:p w14:paraId="2E93E360" w14:textId="1E4BFF79" w:rsidR="009F4130" w:rsidRPr="005F4833" w:rsidRDefault="009F4130" w:rsidP="009F4130">
            <w:pPr>
              <w:jc w:val="left"/>
              <w:rPr>
                <w:sz w:val="20"/>
                <w:szCs w:val="20"/>
              </w:rPr>
            </w:pPr>
            <w:r w:rsidRPr="005F4833">
              <w:rPr>
                <w:sz w:val="20"/>
                <w:szCs w:val="20"/>
              </w:rPr>
              <w:t>All Chiefs Supervisor</w:t>
            </w:r>
          </w:p>
        </w:tc>
        <w:tc>
          <w:tcPr>
            <w:tcW w:w="2556" w:type="dxa"/>
          </w:tcPr>
          <w:p w14:paraId="7A86AB65" w14:textId="1B2A6BF1"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Bernadine Young Bird</w:t>
            </w:r>
          </w:p>
        </w:tc>
        <w:tc>
          <w:tcPr>
            <w:tcW w:w="2556" w:type="dxa"/>
          </w:tcPr>
          <w:p w14:paraId="1B6A3383" w14:textId="62EF56C3"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byoung@nhsc.edu</w:t>
            </w:r>
          </w:p>
        </w:tc>
        <w:tc>
          <w:tcPr>
            <w:tcW w:w="2556" w:type="dxa"/>
          </w:tcPr>
          <w:p w14:paraId="5446D8C5" w14:textId="1DF69DE1"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(701) 627-8091</w:t>
            </w:r>
          </w:p>
        </w:tc>
      </w:tr>
      <w:tr w:rsidR="009F4130" w14:paraId="7661A70C" w14:textId="77777777" w:rsidTr="000A51C8">
        <w:tc>
          <w:tcPr>
            <w:cnfStyle w:val="001000000000" w:firstRow="0" w:lastRow="0" w:firstColumn="1" w:lastColumn="0" w:oddVBand="0" w:evenVBand="0" w:oddHBand="0" w:evenHBand="0" w:firstRowFirstColumn="0" w:firstRowLastColumn="0" w:lastRowFirstColumn="0" w:lastRowLastColumn="0"/>
            <w:tcW w:w="2556" w:type="dxa"/>
          </w:tcPr>
          <w:p w14:paraId="5A077EA6" w14:textId="22537695" w:rsidR="009F4130" w:rsidRPr="005F4833" w:rsidRDefault="009F4130" w:rsidP="009F4130">
            <w:pPr>
              <w:jc w:val="left"/>
              <w:rPr>
                <w:sz w:val="20"/>
                <w:szCs w:val="20"/>
              </w:rPr>
            </w:pPr>
            <w:r w:rsidRPr="005F4833">
              <w:rPr>
                <w:sz w:val="20"/>
                <w:szCs w:val="20"/>
              </w:rPr>
              <w:t>Horse Nation Supervisor</w:t>
            </w:r>
          </w:p>
        </w:tc>
        <w:tc>
          <w:tcPr>
            <w:tcW w:w="2556" w:type="dxa"/>
          </w:tcPr>
          <w:p w14:paraId="6C92871C" w14:textId="47B60AA9"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Joe Reum</w:t>
            </w:r>
          </w:p>
        </w:tc>
        <w:tc>
          <w:tcPr>
            <w:tcW w:w="2556" w:type="dxa"/>
          </w:tcPr>
          <w:p w14:paraId="4C563116" w14:textId="4352C63E"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jreum@nhsc.edu</w:t>
            </w:r>
          </w:p>
        </w:tc>
        <w:tc>
          <w:tcPr>
            <w:tcW w:w="2556" w:type="dxa"/>
          </w:tcPr>
          <w:p w14:paraId="21A5F2D5" w14:textId="7CA53271" w:rsidR="009F4130" w:rsidRPr="005F4833" w:rsidRDefault="009F4130" w:rsidP="009F4130">
            <w:pPr>
              <w:cnfStyle w:val="000000000000" w:firstRow="0"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5F4833">
              <w:rPr>
                <w:rFonts w:asciiTheme="majorHAnsi" w:hAnsiTheme="majorHAnsi"/>
                <w:b w:val="0"/>
                <w:sz w:val="20"/>
                <w:szCs w:val="20"/>
              </w:rPr>
              <w:t>(701) 627-8067</w:t>
            </w:r>
          </w:p>
        </w:tc>
      </w:tr>
    </w:tbl>
    <w:p w14:paraId="42DEAC90" w14:textId="77777777" w:rsidR="0090754A" w:rsidRDefault="0090754A" w:rsidP="00FD07AF"/>
    <w:p w14:paraId="19A7104C" w14:textId="38E7EC43" w:rsidR="009E41E6" w:rsidRPr="009F55AB" w:rsidRDefault="009E41E6" w:rsidP="009F55AB">
      <w:pPr>
        <w:pStyle w:val="Heading2"/>
        <w:rPr>
          <w:rFonts w:asciiTheme="minorHAnsi" w:hAnsiTheme="minorHAnsi" w:cstheme="minorHAnsi"/>
          <w:sz w:val="24"/>
          <w:szCs w:val="24"/>
        </w:rPr>
      </w:pPr>
      <w:bookmarkStart w:id="20" w:name="_Toc209014374"/>
      <w:r w:rsidRPr="009F55AB">
        <w:rPr>
          <w:rFonts w:asciiTheme="minorHAnsi" w:hAnsiTheme="minorHAnsi" w:cstheme="minorHAnsi"/>
          <w:sz w:val="24"/>
          <w:szCs w:val="24"/>
        </w:rPr>
        <w:t>4.7</w:t>
      </w:r>
      <w:r w:rsidRPr="009F55AB">
        <w:rPr>
          <w:rFonts w:asciiTheme="minorHAnsi" w:hAnsiTheme="minorHAnsi" w:cstheme="minorHAnsi"/>
          <w:sz w:val="24"/>
          <w:szCs w:val="24"/>
        </w:rPr>
        <w:tab/>
      </w:r>
      <w:r w:rsidR="00C27E7B" w:rsidRPr="009F55AB">
        <w:rPr>
          <w:rFonts w:asciiTheme="minorHAnsi" w:hAnsiTheme="minorHAnsi" w:cstheme="minorHAnsi"/>
          <w:sz w:val="24"/>
          <w:szCs w:val="24"/>
        </w:rPr>
        <w:t>PROFESSIONAL AND PASTORAL COUNSELORS</w:t>
      </w:r>
      <w:bookmarkEnd w:id="20"/>
    </w:p>
    <w:p w14:paraId="5400F157" w14:textId="035DD220" w:rsidR="00C27E7B" w:rsidRDefault="00562A5D" w:rsidP="00FD07AF">
      <w:r>
        <w:t>The College encourages college professional and pastoral counselors to inform any victim they are coun</w:t>
      </w:r>
      <w:r w:rsidR="0090754A">
        <w:t>seling about the voluntary confidential reporting procedures for Clery Act purposes, if and when they deem it appropriate.  However, NHSC does not have a policy that includes procedures for encouraging pastora</w:t>
      </w:r>
      <w:r w:rsidR="007F3CAF">
        <w:t>l and professional counselors to inform the persons they are counseling to make voluntary confidential reports.</w:t>
      </w:r>
    </w:p>
    <w:p w14:paraId="1E532F21" w14:textId="681E9D3F" w:rsidR="007F3CAF" w:rsidRDefault="007F3CAF" w:rsidP="00FD07AF">
      <w:r>
        <w:t>W</w:t>
      </w:r>
      <w:r w:rsidR="004F53AD">
        <w:t>ith</w:t>
      </w:r>
      <w:r>
        <w:t xml:space="preserve"> their client</w:t>
      </w:r>
      <w:r w:rsidR="004F53AD">
        <w:t>’s permission or request, professional and pastoral counselors can make a CSA report or an online crime report to NHSC without including identifying information in the report.</w:t>
      </w:r>
    </w:p>
    <w:p w14:paraId="39517F48" w14:textId="3B998401" w:rsidR="004F53AD" w:rsidRPr="009F55AB" w:rsidRDefault="004F53AD" w:rsidP="009F55AB">
      <w:pPr>
        <w:pStyle w:val="Heading2"/>
        <w:rPr>
          <w:rFonts w:asciiTheme="minorHAnsi" w:hAnsiTheme="minorHAnsi" w:cstheme="minorHAnsi"/>
          <w:sz w:val="24"/>
          <w:szCs w:val="24"/>
        </w:rPr>
      </w:pPr>
      <w:bookmarkStart w:id="21" w:name="_Toc209014375"/>
      <w:r w:rsidRPr="009F55AB">
        <w:rPr>
          <w:rFonts w:asciiTheme="minorHAnsi" w:hAnsiTheme="minorHAnsi" w:cstheme="minorHAnsi"/>
          <w:sz w:val="24"/>
          <w:szCs w:val="24"/>
        </w:rPr>
        <w:lastRenderedPageBreak/>
        <w:t>4.8</w:t>
      </w:r>
      <w:r w:rsidR="00137B77" w:rsidRPr="009F55AB">
        <w:rPr>
          <w:rFonts w:asciiTheme="minorHAnsi" w:hAnsiTheme="minorHAnsi" w:cstheme="minorHAnsi"/>
          <w:sz w:val="24"/>
          <w:szCs w:val="24"/>
        </w:rPr>
        <w:tab/>
        <w:t>DAILY CRIME LOG</w:t>
      </w:r>
      <w:bookmarkEnd w:id="21"/>
    </w:p>
    <w:p w14:paraId="1F8A35EE" w14:textId="0C61BDF3" w:rsidR="00137B77" w:rsidRDefault="00137B77" w:rsidP="00FD07AF">
      <w:r>
        <w:t>The Campus Safety Officer (</w:t>
      </w:r>
      <w:r w:rsidR="00BF0DC3">
        <w:t xml:space="preserve">at </w:t>
      </w:r>
      <w:r>
        <w:t>NHSC) maintains a Daily Crime Lo</w:t>
      </w:r>
      <w:r w:rsidR="00BF0DC3">
        <w:t>g, which contains a record of all crimes reported to NHSC.  The Daily Crime Log also includes any crimes reported within the primary patrol jurisdiction of NHSC (see attached patrol jurisdiction maps in the Appendix).  All entries or additions to the Daily Crime Log are made within two business days of the report being received by NHSC, unless the disclosure of such crime is prohibited by law or would jeopardize the confidentiality of the victim.</w:t>
      </w:r>
    </w:p>
    <w:p w14:paraId="2C5057DF" w14:textId="0262F4F7" w:rsidR="00BF0DC3" w:rsidRDefault="00032C04" w:rsidP="00FD07AF">
      <w:r>
        <w:t>The information in the Daily Crime Log includes the nature of the reported crime, the time and date of the crime was reported to NHS</w:t>
      </w:r>
      <w:r w:rsidR="006B5AFA">
        <w:t>C, the time and date the crime occurred (if known), the location of the crime (if known), and the current disposition of the case</w:t>
      </w:r>
      <w:r w:rsidR="006E2D4B">
        <w:t xml:space="preserve"> for the past 60 days (if known).  A crime is considered “reported” when it is brought to the attention of a College Security Authority</w:t>
      </w:r>
      <w:r w:rsidR="00805614">
        <w:t xml:space="preserve"> (including Campus Safety Officers).  All crimes in the Daily Crime Log are recorded by the date the crime was reported to NHSC.</w:t>
      </w:r>
    </w:p>
    <w:p w14:paraId="5535682C" w14:textId="0C79107F" w:rsidR="00805614" w:rsidRDefault="00805614" w:rsidP="00FD07AF">
      <w:r>
        <w:t>In compliance with the Clery Act, NHSC may withhold information from the Daily Crime Log if there is clear and convincing evidence that the release of such information would jeopardize an ongoing criminal investigation or the safety of an individual</w:t>
      </w:r>
      <w:r w:rsidR="001653D0">
        <w:t>, cause a suspect to flee or evade detection, or result in the destruction of evidence.  NHSC will disclose any information withheld from the Daily Crime Log</w:t>
      </w:r>
      <w:r w:rsidR="00B478D0">
        <w:t xml:space="preserve"> once the adverse effect is no longer likely to occur.</w:t>
      </w:r>
    </w:p>
    <w:p w14:paraId="586833E7" w14:textId="7F44CD82" w:rsidR="009F55AB" w:rsidRPr="005F4833" w:rsidRDefault="00B478D0" w:rsidP="00A57CAD">
      <w:r>
        <w:t xml:space="preserve">NHSC’s Daily Crime Log includes all crime incidents from the most recent 60-day period.  The Daily Crime Log is open for public inspection at NHSC’s Campus Safety </w:t>
      </w:r>
      <w:r w:rsidR="00F92D6E">
        <w:t>Director</w:t>
      </w:r>
      <w:r w:rsidR="007D6733">
        <w:t xml:space="preserve"> Office and at the office of the VP of Campus Services during normal business hours (generally Monday through Friday</w:t>
      </w:r>
      <w:r w:rsidR="00313C2C">
        <w:t>, 8:00 a.m. to 5:00 p.m.).  Daily Crime Log information older than 60 days (up to 7 years) will be made available for public inspection with two business days of a request for such informati</w:t>
      </w:r>
      <w:r w:rsidR="00A57CAD">
        <w:t>on.</w:t>
      </w:r>
    </w:p>
    <w:p w14:paraId="4BC5E457" w14:textId="7E01B7D1" w:rsidR="00A57CAD" w:rsidRPr="009F55AB" w:rsidRDefault="00A57CAD" w:rsidP="009F55AB">
      <w:pPr>
        <w:pStyle w:val="Heading1"/>
        <w:rPr>
          <w:rFonts w:asciiTheme="minorHAnsi" w:hAnsiTheme="minorHAnsi" w:cstheme="minorHAnsi"/>
          <w:sz w:val="32"/>
        </w:rPr>
      </w:pPr>
      <w:bookmarkStart w:id="22" w:name="_Toc209014376"/>
      <w:r w:rsidRPr="009F55AB">
        <w:rPr>
          <w:rFonts w:asciiTheme="minorHAnsi" w:hAnsiTheme="minorHAnsi" w:cstheme="minorHAnsi"/>
          <w:sz w:val="32"/>
        </w:rPr>
        <w:lastRenderedPageBreak/>
        <w:t>5.0</w:t>
      </w:r>
      <w:r w:rsidRPr="009F55AB">
        <w:rPr>
          <w:rFonts w:asciiTheme="minorHAnsi" w:hAnsiTheme="minorHAnsi" w:cstheme="minorHAnsi"/>
          <w:sz w:val="32"/>
        </w:rPr>
        <w:tab/>
      </w:r>
      <w:r w:rsidR="00E74F0D">
        <w:rPr>
          <w:rFonts w:asciiTheme="minorHAnsi" w:hAnsiTheme="minorHAnsi" w:cstheme="minorHAnsi"/>
          <w:sz w:val="32"/>
        </w:rPr>
        <w:tab/>
      </w:r>
      <w:r w:rsidRPr="009F55AB">
        <w:rPr>
          <w:rFonts w:asciiTheme="minorHAnsi" w:hAnsiTheme="minorHAnsi" w:cstheme="minorHAnsi"/>
          <w:sz w:val="32"/>
        </w:rPr>
        <w:t>Missing Student Policy</w:t>
      </w:r>
      <w:bookmarkEnd w:id="22"/>
    </w:p>
    <w:p w14:paraId="08CBC1A0" w14:textId="6682AAD6" w:rsidR="009C51C5" w:rsidRPr="000210E2" w:rsidRDefault="009C51C5" w:rsidP="000210E2">
      <w:pPr>
        <w:pStyle w:val="Heading2"/>
        <w:rPr>
          <w:rFonts w:asciiTheme="minorHAnsi" w:hAnsiTheme="minorHAnsi" w:cstheme="minorHAnsi"/>
          <w:sz w:val="24"/>
          <w:szCs w:val="24"/>
        </w:rPr>
      </w:pPr>
      <w:bookmarkStart w:id="23" w:name="_Toc209014377"/>
      <w:r w:rsidRPr="000210E2">
        <w:rPr>
          <w:rFonts w:asciiTheme="minorHAnsi" w:hAnsiTheme="minorHAnsi" w:cstheme="minorHAnsi"/>
          <w:sz w:val="24"/>
          <w:szCs w:val="24"/>
        </w:rPr>
        <w:t>5.1</w:t>
      </w:r>
      <w:r w:rsidR="00A57CAD" w:rsidRPr="000210E2">
        <w:rPr>
          <w:rFonts w:asciiTheme="minorHAnsi" w:hAnsiTheme="minorHAnsi" w:cstheme="minorHAnsi"/>
          <w:sz w:val="24"/>
          <w:szCs w:val="24"/>
        </w:rPr>
        <w:tab/>
        <w:t>GENERAL</w:t>
      </w:r>
      <w:r w:rsidR="00225958" w:rsidRPr="000210E2">
        <w:rPr>
          <w:rFonts w:asciiTheme="minorHAnsi" w:hAnsiTheme="minorHAnsi" w:cstheme="minorHAnsi"/>
          <w:sz w:val="24"/>
          <w:szCs w:val="24"/>
        </w:rPr>
        <w:t xml:space="preserve"> POLICY ON MISSING PERSONS</w:t>
      </w:r>
      <w:bookmarkEnd w:id="23"/>
    </w:p>
    <w:p w14:paraId="70337601" w14:textId="01D57FEB" w:rsidR="00225958" w:rsidRDefault="00225958" w:rsidP="00FD07AF">
      <w:r>
        <w:t>Since NHSC has no on campus student housing it is not required to have a missing student policy.</w:t>
      </w:r>
    </w:p>
    <w:p w14:paraId="66596AAA" w14:textId="34D753EF" w:rsidR="00225958" w:rsidRPr="000210E2" w:rsidRDefault="008A580D" w:rsidP="00D15FCB">
      <w:pPr>
        <w:pStyle w:val="Heading1"/>
        <w:ind w:left="1440" w:hanging="1440"/>
        <w:rPr>
          <w:rFonts w:asciiTheme="minorHAnsi" w:hAnsiTheme="minorHAnsi" w:cstheme="minorHAnsi"/>
          <w:sz w:val="32"/>
        </w:rPr>
      </w:pPr>
      <w:bookmarkStart w:id="24" w:name="_Toc209014378"/>
      <w:r w:rsidRPr="000210E2">
        <w:rPr>
          <w:rFonts w:asciiTheme="minorHAnsi" w:hAnsiTheme="minorHAnsi" w:cstheme="minorHAnsi"/>
          <w:sz w:val="32"/>
        </w:rPr>
        <w:t>6.0</w:t>
      </w:r>
      <w:r w:rsidRPr="000210E2">
        <w:rPr>
          <w:rFonts w:asciiTheme="minorHAnsi" w:hAnsiTheme="minorHAnsi" w:cstheme="minorHAnsi"/>
          <w:sz w:val="32"/>
        </w:rPr>
        <w:tab/>
        <w:t>Crime Prevention and Security Awareness Programs</w:t>
      </w:r>
      <w:bookmarkEnd w:id="24"/>
    </w:p>
    <w:p w14:paraId="0EBD1E79" w14:textId="288CFF8A" w:rsidR="003E6CF7" w:rsidRDefault="003E6CF7" w:rsidP="00FD07AF">
      <w:r>
        <w:t xml:space="preserve">The prevention of crime is a top priority for NHSC.  All members of the </w:t>
      </w:r>
      <w:r w:rsidR="00BC07AA">
        <w:t xml:space="preserve">NHSC community are encouraged to </w:t>
      </w:r>
      <w:r w:rsidR="00596A82">
        <w:t>take responsibility for their own safety and security, and when possible and safe to do so, assist others with their safety and security needs.  While the Campus Safety Office may offer guidance</w:t>
      </w:r>
      <w:r w:rsidR="00ED4A7C">
        <w:t xml:space="preserve"> and assistance regarding safety and security on campus, each individual must take primary responsibility for their own safety and security.</w:t>
      </w:r>
    </w:p>
    <w:p w14:paraId="1AF50299" w14:textId="784C592E" w:rsidR="00ED4A7C" w:rsidRDefault="00EE05FC" w:rsidP="00FD07AF">
      <w:r>
        <w:t>The Campus Safety Office supports proactive crime prevention strategies, working closely with community members and other departments on campus to help create and maintain a safe environment</w:t>
      </w:r>
      <w:r w:rsidR="007A7710">
        <w:t xml:space="preserve"> at NHSC.  For students, crime prevention and security awareness programs begin with freshman orientation presentations.  Throughout the year, NHSC gives various presentations and worksh</w:t>
      </w:r>
      <w:r w:rsidR="00C3464C">
        <w:t>ops regarding personal safety, self-defense, office safety/workplace violence, bicycle security, active shooter response, and crime prevention.</w:t>
      </w:r>
    </w:p>
    <w:p w14:paraId="1D1C80DD" w14:textId="746467E0" w:rsidR="00C3464C" w:rsidRDefault="00C3464C" w:rsidP="00FD07AF">
      <w:r>
        <w:t>NHSC’s effort to educate the campus community</w:t>
      </w:r>
      <w:r w:rsidR="00F61D2F">
        <w:t xml:space="preserve"> about incidents of crime, the importance of reporting crime, and the prevention of crime is performed on a continuous and ongoing basis throughout each year.  From the </w:t>
      </w:r>
      <w:r w:rsidR="00060E62">
        <w:t>time</w:t>
      </w:r>
      <w:r w:rsidR="00F61D2F">
        <w:t xml:space="preserve"> </w:t>
      </w:r>
      <w:r w:rsidR="0065430A">
        <w:t>a student</w:t>
      </w:r>
      <w:r w:rsidR="00F61D2F">
        <w:t xml:space="preserve"> attends freshman orientation, up to their graduation, students are presented with and offered a number of different safety and security programs and campaigns designed to create a safer campus.</w:t>
      </w:r>
    </w:p>
    <w:p w14:paraId="620D3259" w14:textId="77777777" w:rsidR="000210E2" w:rsidRDefault="000210E2" w:rsidP="00FD07AF"/>
    <w:p w14:paraId="6E2BF68E" w14:textId="78F17472" w:rsidR="00F61D2F" w:rsidRPr="000210E2" w:rsidRDefault="00194C51" w:rsidP="00D15FCB">
      <w:pPr>
        <w:pStyle w:val="Heading2"/>
        <w:ind w:left="720" w:hanging="720"/>
        <w:rPr>
          <w:rFonts w:asciiTheme="minorHAnsi" w:hAnsiTheme="minorHAnsi" w:cstheme="minorHAnsi"/>
          <w:sz w:val="24"/>
          <w:szCs w:val="24"/>
        </w:rPr>
      </w:pPr>
      <w:bookmarkStart w:id="25" w:name="_Toc209014379"/>
      <w:r w:rsidRPr="000210E2">
        <w:rPr>
          <w:rFonts w:asciiTheme="minorHAnsi" w:hAnsiTheme="minorHAnsi" w:cstheme="minorHAnsi"/>
          <w:sz w:val="24"/>
          <w:szCs w:val="24"/>
        </w:rPr>
        <w:lastRenderedPageBreak/>
        <w:t>6.1</w:t>
      </w:r>
      <w:r w:rsidRPr="000210E2">
        <w:rPr>
          <w:rFonts w:asciiTheme="minorHAnsi" w:hAnsiTheme="minorHAnsi" w:cstheme="minorHAnsi"/>
          <w:sz w:val="24"/>
          <w:szCs w:val="24"/>
        </w:rPr>
        <w:tab/>
        <w:t>CAMPUS SAFETY AND SECURITY EDUCATION, PROGRAMMING, AND OTHER EVENTS</w:t>
      </w:r>
      <w:bookmarkEnd w:id="25"/>
    </w:p>
    <w:p w14:paraId="6690AC33" w14:textId="13792353" w:rsidR="00194C51" w:rsidRDefault="00203CB6" w:rsidP="00FD07AF">
      <w:r>
        <w:t>Crime prevention is the anticipation, recognition, and appraisal of a crime risk and the initiation of action</w:t>
      </w:r>
      <w:r w:rsidR="004F3455">
        <w:t xml:space="preserve"> to remove or reduce it.  NHSC provides support and services to, and collaborates with, campus commu</w:t>
      </w:r>
      <w:r w:rsidR="00C45737">
        <w:t>nity members to make NHSC a safer place to work, learn, and live.</w:t>
      </w:r>
    </w:p>
    <w:p w14:paraId="031BD34C" w14:textId="4314AB6F" w:rsidR="00C45737" w:rsidRDefault="00C45737" w:rsidP="00FD07AF">
      <w:r>
        <w:t>Campus security procedures are discussed during new student orientation, when students learn about crime on campus and in surrounding neighborhoods.  In addition to ongoing opportunities to attend crime prevention and safety awareness programming, NHSC offers crime prevention presentations when requested by various community</w:t>
      </w:r>
      <w:r w:rsidR="001D57DC">
        <w:t xml:space="preserve"> groups, including students and employees of the College.  During these presentations, the following</w:t>
      </w:r>
      <w:r w:rsidR="00504949">
        <w:t xml:space="preserve"> information is typically provided: crime prevention tips; statistics on crime at NHSC</w:t>
      </w:r>
      <w:r w:rsidR="00953626">
        <w:t xml:space="preserve">; Emergency Notification and Timely Warning policies and procedures; and </w:t>
      </w:r>
      <w:r w:rsidR="00B34D2B">
        <w:t>information regarding campus security procedures and practices, including encouraging participants to be responsible for their own security and for the security of others on campus.</w:t>
      </w:r>
    </w:p>
    <w:p w14:paraId="1E6C21F3" w14:textId="33ACCB99" w:rsidR="00AA36AE" w:rsidRDefault="00AA36AE" w:rsidP="00FD07AF">
      <w:pPr>
        <w:rPr>
          <w:b/>
          <w:bCs/>
        </w:rPr>
      </w:pPr>
      <w:r>
        <w:rPr>
          <w:b/>
          <w:bCs/>
        </w:rPr>
        <w:t>Crime Prevention Programs</w:t>
      </w:r>
    </w:p>
    <w:p w14:paraId="5E5C23FC" w14:textId="0AEDD932" w:rsidR="00AA36AE" w:rsidRDefault="00AA36AE" w:rsidP="00FD07AF">
      <w:r>
        <w:t xml:space="preserve">NHSC offers the following crime prevention programs to the </w:t>
      </w:r>
      <w:r w:rsidR="00C629FD">
        <w:t>NHSC community:</w:t>
      </w:r>
    </w:p>
    <w:p w14:paraId="04A143AF" w14:textId="6793FE29" w:rsidR="00C629FD" w:rsidRDefault="000400B2" w:rsidP="00FD07AF">
      <w:r>
        <w:rPr>
          <w:b/>
          <w:bCs/>
        </w:rPr>
        <w:t xml:space="preserve">Active Shooter </w:t>
      </w:r>
      <w:r w:rsidR="00C629FD">
        <w:rPr>
          <w:b/>
          <w:bCs/>
        </w:rPr>
        <w:t>Training for Students, Staff, and Faculty:</w:t>
      </w:r>
      <w:r w:rsidR="00C629FD">
        <w:t xml:space="preserve"> NHSC offers active shooter training for students, staff, and faculty.  The first half of the training</w:t>
      </w:r>
      <w:r w:rsidR="005E272E">
        <w:t xml:space="preserve"> focuses on strategies to prevent </w:t>
      </w:r>
      <w:r>
        <w:t>active shooter</w:t>
      </w:r>
      <w:r w:rsidR="005E272E">
        <w:t xml:space="preserve"> situations from happening and the second half focuses on what to do</w:t>
      </w:r>
      <w:r w:rsidR="00620BF4">
        <w:t xml:space="preserve"> if it does happen.  This includes </w:t>
      </w:r>
      <w:r>
        <w:t xml:space="preserve">having a </w:t>
      </w:r>
      <w:r w:rsidR="003C4E75">
        <w:t xml:space="preserve">lecture </w:t>
      </w:r>
      <w:r>
        <w:t xml:space="preserve">on </w:t>
      </w:r>
      <w:r w:rsidR="00764F83">
        <w:t>best practices followed by questions and answers.  The participants then return to their individual</w:t>
      </w:r>
      <w:r w:rsidR="00110375">
        <w:t xml:space="preserve"> workspace where they </w:t>
      </w:r>
      <w:r w:rsidR="004A5062">
        <w:t>assess</w:t>
      </w:r>
      <w:r w:rsidR="00110375">
        <w:t xml:space="preserve"> their </w:t>
      </w:r>
      <w:r w:rsidR="003C4E75">
        <w:t xml:space="preserve">own </w:t>
      </w:r>
      <w:r w:rsidR="00110375">
        <w:t>workspace from a security perspective, including evacuation routes and sheltering-in-place location suggestions</w:t>
      </w:r>
      <w:r w:rsidR="00A46EE9">
        <w:t>.  By the end of the meeting, the department and staff members have a personalized plan of action on how to react to a variety of threatening situations.  This training is offered on request on an ongoing basis.</w:t>
      </w:r>
    </w:p>
    <w:p w14:paraId="21170E22" w14:textId="2D34D997" w:rsidR="00626932" w:rsidRDefault="00626932" w:rsidP="00FD07AF">
      <w:r>
        <w:rPr>
          <w:b/>
          <w:bCs/>
        </w:rPr>
        <w:lastRenderedPageBreak/>
        <w:t>Safety Talks:</w:t>
      </w:r>
      <w:r w:rsidR="004615F7">
        <w:t xml:space="preserve"> NHSC works with the students and staff on crime prevention and safety awareness strategies.  Topics covered include bike theft prevention, drug and alcohol safety, bike security, </w:t>
      </w:r>
      <w:r w:rsidR="000400B2">
        <w:t>Active shooter</w:t>
      </w:r>
      <w:r w:rsidR="004615F7">
        <w:t xml:space="preserve"> Prevention, and more…</w:t>
      </w:r>
    </w:p>
    <w:p w14:paraId="5B7DF99B" w14:textId="3BC62FF6" w:rsidR="00EF5CF9" w:rsidRDefault="00EF5CF9" w:rsidP="00FD07AF">
      <w:pPr>
        <w:rPr>
          <w:b/>
          <w:bCs/>
        </w:rPr>
      </w:pPr>
      <w:r>
        <w:rPr>
          <w:b/>
          <w:bCs/>
        </w:rPr>
        <w:t>Security Awareness Programs</w:t>
      </w:r>
    </w:p>
    <w:p w14:paraId="2E319E34" w14:textId="595FA295" w:rsidR="00EF5CF9" w:rsidRDefault="000D46AF" w:rsidP="00FD07AF">
      <w:pPr>
        <w:rPr>
          <w:b/>
          <w:bCs/>
        </w:rPr>
      </w:pPr>
      <w:r>
        <w:t>NHSC offer the following security awareness programs to the NHSC community</w:t>
      </w:r>
      <w:r>
        <w:rPr>
          <w:b/>
          <w:bCs/>
        </w:rPr>
        <w:t>:</w:t>
      </w:r>
    </w:p>
    <w:p w14:paraId="58D832E8" w14:textId="6CDAFD08" w:rsidR="000D46AF" w:rsidRDefault="000D46AF" w:rsidP="00FD07AF">
      <w:r>
        <w:rPr>
          <w:b/>
          <w:bCs/>
        </w:rPr>
        <w:t>Incoming Student Talks:</w:t>
      </w:r>
      <w:r>
        <w:t xml:space="preserve"> NHSC provides incoming freshman and transfer </w:t>
      </w:r>
      <w:r w:rsidR="002B607C">
        <w:t>students with</w:t>
      </w:r>
      <w:r>
        <w:t xml:space="preserve"> an overview of campus safety, information about crime in the local </w:t>
      </w:r>
      <w:r w:rsidR="00723791">
        <w:t>area</w:t>
      </w:r>
      <w:r>
        <w:t xml:space="preserve">, and risk reduction strategies.  Talks are offered throughout </w:t>
      </w:r>
      <w:r w:rsidR="0089516D">
        <w:t>the fall term.</w:t>
      </w:r>
    </w:p>
    <w:p w14:paraId="6EF75300" w14:textId="4D7A4CF4" w:rsidR="00467F49" w:rsidRDefault="00467F49" w:rsidP="00FD07AF">
      <w:r>
        <w:rPr>
          <w:b/>
          <w:bCs/>
        </w:rPr>
        <w:t xml:space="preserve">Safety Brochures and Videos: </w:t>
      </w:r>
      <w:r>
        <w:t xml:space="preserve">NHSC has safety brochures for students, </w:t>
      </w:r>
      <w:r w:rsidR="00197964">
        <w:t>staff, and faculty on topics such as self-defense and personal safety,</w:t>
      </w:r>
      <w:r w:rsidR="002B607C">
        <w:t xml:space="preserve"> </w:t>
      </w:r>
      <w:r w:rsidR="00197964">
        <w:t>active shooter situations, and burglary and theft prevention.  These materials are available at the Campus Safety Office.</w:t>
      </w:r>
    </w:p>
    <w:p w14:paraId="6126BC0C" w14:textId="29E09ED4" w:rsidR="00197964" w:rsidRDefault="00DD407D" w:rsidP="00FD07AF">
      <w:r>
        <w:t>In addition to the regular and ongoing crime prevention and safety awareness programming above, NHSC provides consultation</w:t>
      </w:r>
      <w:r w:rsidR="002C53B6">
        <w:t xml:space="preserve"> and crime prevention assessments to staff/academic department</w:t>
      </w:r>
      <w:r w:rsidR="00B8437B">
        <w:t xml:space="preserve">s and student groups upon request.  NHSC can assist in developing department-specific emergency plans for evacuations, bomb threats, and </w:t>
      </w:r>
      <w:r w:rsidR="00C00B69">
        <w:t>criminal incidents, or can provide crime-prevention and physical-security systems recommendations for the planning process of new buildings and landscape design.</w:t>
      </w:r>
    </w:p>
    <w:p w14:paraId="309FC554" w14:textId="235BE28A" w:rsidR="00C00B69" w:rsidRDefault="00C00B69" w:rsidP="00FD07AF">
      <w:r>
        <w:t>NHSC offers training and lectures customized for any group or department.  For more information</w:t>
      </w:r>
      <w:r w:rsidR="00F17B46">
        <w:t xml:space="preserve"> about crime prevention, or to schedule a presentation regarding crime prevention, safety awareness, sexual violence</w:t>
      </w:r>
      <w:r w:rsidR="00722689">
        <w:t xml:space="preserve"> and sexual harassment, or </w:t>
      </w:r>
      <w:r w:rsidR="000400B2">
        <w:t>Active shooter</w:t>
      </w:r>
      <w:r w:rsidR="00722689">
        <w:t>s (active shooters), please contact the NHSC Safety Office.</w:t>
      </w:r>
    </w:p>
    <w:p w14:paraId="76B9DD41" w14:textId="706F1B77" w:rsidR="00722689" w:rsidRDefault="002A4780" w:rsidP="00FD07AF">
      <w:r>
        <w:t>NHSC</w:t>
      </w:r>
      <w:r w:rsidR="00722689">
        <w:t xml:space="preserve"> community members</w:t>
      </w:r>
      <w:r>
        <w:t xml:space="preserve"> are reminded that crime can happen anywhere, at any time to anyone, and that the</w:t>
      </w:r>
      <w:r w:rsidR="00863A03">
        <w:t xml:space="preserve"> college campus is not a crime-free zone.  Students, staff, and faculty must take their own personal safety very seriously.</w:t>
      </w:r>
    </w:p>
    <w:p w14:paraId="7CC6804F" w14:textId="7EDB9850" w:rsidR="00863A03" w:rsidRPr="000210E2" w:rsidRDefault="008344C1" w:rsidP="000210E2">
      <w:pPr>
        <w:pStyle w:val="Heading2"/>
        <w:rPr>
          <w:rFonts w:asciiTheme="minorHAnsi" w:hAnsiTheme="minorHAnsi" w:cstheme="minorHAnsi"/>
          <w:sz w:val="24"/>
          <w:szCs w:val="24"/>
        </w:rPr>
      </w:pPr>
      <w:bookmarkStart w:id="26" w:name="_Toc209014380"/>
      <w:r w:rsidRPr="000210E2">
        <w:rPr>
          <w:rFonts w:asciiTheme="minorHAnsi" w:hAnsiTheme="minorHAnsi" w:cstheme="minorHAnsi"/>
          <w:sz w:val="24"/>
          <w:szCs w:val="24"/>
        </w:rPr>
        <w:lastRenderedPageBreak/>
        <w:t>6.2</w:t>
      </w:r>
      <w:r w:rsidRPr="000210E2">
        <w:rPr>
          <w:rFonts w:asciiTheme="minorHAnsi" w:hAnsiTheme="minorHAnsi" w:cstheme="minorHAnsi"/>
          <w:sz w:val="24"/>
          <w:szCs w:val="24"/>
        </w:rPr>
        <w:tab/>
        <w:t xml:space="preserve">RESPONSIBILITIES OF THE </w:t>
      </w:r>
      <w:r w:rsidR="00DC6438" w:rsidRPr="000210E2">
        <w:rPr>
          <w:rFonts w:asciiTheme="minorHAnsi" w:hAnsiTheme="minorHAnsi" w:cstheme="minorHAnsi"/>
          <w:sz w:val="24"/>
          <w:szCs w:val="24"/>
        </w:rPr>
        <w:t>NHSC COMMUNITY</w:t>
      </w:r>
      <w:bookmarkEnd w:id="26"/>
    </w:p>
    <w:p w14:paraId="4AA32024" w14:textId="48183CEB" w:rsidR="00DC6438" w:rsidRDefault="00DC6438" w:rsidP="00FD07AF">
      <w:r>
        <w:t xml:space="preserve">A safe and secure environment is essential to carrying out the mission of the college.  Preventing harm depends on </w:t>
      </w:r>
      <w:r w:rsidR="005C3441">
        <w:t xml:space="preserve">NHSC </w:t>
      </w:r>
      <w:r>
        <w:t>community members ident</w:t>
      </w:r>
      <w:r w:rsidR="00EC7197">
        <w:t>if</w:t>
      </w:r>
      <w:r>
        <w:t>ying and communicating</w:t>
      </w:r>
      <w:r w:rsidR="005C3441">
        <w:t xml:space="preserve"> hazardous conditions and behaviors of concern.  Safety is a collaborative effort!  Additionally, early identification of safety and security concerns allows for effective planning, mitigation, response, and recovery.</w:t>
      </w:r>
    </w:p>
    <w:p w14:paraId="63E81551" w14:textId="7E462B6F" w:rsidR="005C3441" w:rsidRDefault="005C3441" w:rsidP="00FD07AF">
      <w:r>
        <w:t>Members of the NHSC community</w:t>
      </w:r>
      <w:r w:rsidR="00FA49A2">
        <w:t xml:space="preserve"> must assume responsibility for their own safety and the security of their personal property.  The following precautions provide guidance:</w:t>
      </w:r>
    </w:p>
    <w:p w14:paraId="6282ACE4" w14:textId="4A3EF33B" w:rsidR="00FA49A2" w:rsidRDefault="00EE693E" w:rsidP="00AA41CD">
      <w:pPr>
        <w:pStyle w:val="ListParagraph"/>
        <w:numPr>
          <w:ilvl w:val="0"/>
          <w:numId w:val="3"/>
        </w:numPr>
      </w:pPr>
      <w:r>
        <w:t>Report all crimes and suspicious activities to NHSC immediately.</w:t>
      </w:r>
    </w:p>
    <w:p w14:paraId="44F78FAC" w14:textId="77777777" w:rsidR="005B522C" w:rsidRDefault="005B522C" w:rsidP="005B522C">
      <w:pPr>
        <w:pStyle w:val="ListParagraph"/>
        <w:spacing w:line="240" w:lineRule="auto"/>
      </w:pPr>
    </w:p>
    <w:p w14:paraId="2ECD5FD4" w14:textId="3A415FE3" w:rsidR="00CA39CD" w:rsidRDefault="00EE693E" w:rsidP="00AA41CD">
      <w:pPr>
        <w:pStyle w:val="ListParagraph"/>
        <w:numPr>
          <w:ilvl w:val="0"/>
          <w:numId w:val="3"/>
        </w:numPr>
        <w:spacing w:before="0" w:after="0"/>
      </w:pPr>
      <w:r>
        <w:t>If you see or smell any evidence of fire, smoke, gas, or other hazardous condition</w:t>
      </w:r>
      <w:r w:rsidR="00DD39C4">
        <w:t>s, call 911 immediately.  Even fires that have been extinguished should be reported.</w:t>
      </w:r>
    </w:p>
    <w:p w14:paraId="423F4E21" w14:textId="77777777" w:rsidR="00C260D2" w:rsidRDefault="00C260D2" w:rsidP="00F41D79">
      <w:pPr>
        <w:pStyle w:val="ListParagraph"/>
        <w:spacing w:line="240" w:lineRule="auto"/>
      </w:pPr>
    </w:p>
    <w:p w14:paraId="1BF2875A" w14:textId="77777777" w:rsidR="00C260D2" w:rsidRDefault="00C260D2" w:rsidP="00C260D2">
      <w:pPr>
        <w:pStyle w:val="ListParagraph"/>
        <w:spacing w:before="0" w:line="240" w:lineRule="auto"/>
      </w:pPr>
    </w:p>
    <w:p w14:paraId="20996E8D" w14:textId="1FA57E61" w:rsidR="00DD39C4" w:rsidRDefault="00DD39C4" w:rsidP="00AA41CD">
      <w:pPr>
        <w:pStyle w:val="ListParagraph"/>
        <w:numPr>
          <w:ilvl w:val="0"/>
          <w:numId w:val="3"/>
        </w:numPr>
      </w:pPr>
      <w:r>
        <w:t xml:space="preserve">Be aware of your surroundings.  If possible, </w:t>
      </w:r>
      <w:r w:rsidR="00A67B84">
        <w:t>do not</w:t>
      </w:r>
      <w:r>
        <w:t xml:space="preserve"> walk alone during late-night hours.  Walk in groups whenever you can</w:t>
      </w:r>
      <w:r w:rsidR="006B746B">
        <w:t xml:space="preserve"> – there is always safety in numbers.  Stay in well-lit areas as much as possible.</w:t>
      </w:r>
    </w:p>
    <w:p w14:paraId="0C8DEF7E" w14:textId="77777777" w:rsidR="00F41D79" w:rsidRDefault="00F41D79" w:rsidP="00F41D79">
      <w:pPr>
        <w:pStyle w:val="ListParagraph"/>
        <w:spacing w:line="240" w:lineRule="auto"/>
      </w:pPr>
    </w:p>
    <w:p w14:paraId="4BB52DA3" w14:textId="0E1ADE10" w:rsidR="006B746B" w:rsidRDefault="006B746B" w:rsidP="00AA41CD">
      <w:pPr>
        <w:pStyle w:val="ListParagraph"/>
        <w:numPr>
          <w:ilvl w:val="0"/>
          <w:numId w:val="3"/>
        </w:numPr>
      </w:pPr>
      <w:r>
        <w:t>Never</w:t>
      </w:r>
      <w:r w:rsidR="00FF11A9">
        <w:t xml:space="preserve"> take personal safety for granted. Trust your instincts.  If something or some makes you feel uneasy</w:t>
      </w:r>
      <w:r w:rsidR="00AA36E4">
        <w:t>, avoid the person or leave.</w:t>
      </w:r>
    </w:p>
    <w:p w14:paraId="5D2807A9" w14:textId="77777777" w:rsidR="00AA36E4" w:rsidRDefault="00AA36E4" w:rsidP="00AA36E4">
      <w:pPr>
        <w:pStyle w:val="ListParagraph"/>
      </w:pPr>
    </w:p>
    <w:p w14:paraId="65F4031B" w14:textId="6D9AEFA4" w:rsidR="00AA36E4" w:rsidRDefault="00BA518D" w:rsidP="00AA41CD">
      <w:pPr>
        <w:pStyle w:val="ListParagraph"/>
        <w:numPr>
          <w:ilvl w:val="0"/>
          <w:numId w:val="3"/>
        </w:numPr>
      </w:pPr>
      <w:r>
        <w:t xml:space="preserve">Let a family member or friend know your destination and your estimated time of arrival or return.  That way </w:t>
      </w:r>
      <w:r w:rsidR="00723791">
        <w:t>the police</w:t>
      </w:r>
      <w:r>
        <w:t xml:space="preserve"> can be notified as quickly as possible if there is a problem.</w:t>
      </w:r>
    </w:p>
    <w:p w14:paraId="6D2DCAA7" w14:textId="77777777" w:rsidR="00BA518D" w:rsidRDefault="00BA518D" w:rsidP="00BA518D">
      <w:pPr>
        <w:pStyle w:val="ListParagraph"/>
      </w:pPr>
    </w:p>
    <w:p w14:paraId="67A2D762" w14:textId="5795B76B" w:rsidR="00BA518D" w:rsidRDefault="004101A1" w:rsidP="00AA41CD">
      <w:pPr>
        <w:pStyle w:val="ListParagraph"/>
        <w:numPr>
          <w:ilvl w:val="0"/>
          <w:numId w:val="3"/>
        </w:numPr>
      </w:pPr>
      <w:r>
        <w:t>Carry only small amounts of cash.  Never leave valuables (wallets, purses, books, phones, etc.) unattended or in plain sight.</w:t>
      </w:r>
    </w:p>
    <w:p w14:paraId="53811E23" w14:textId="77777777" w:rsidR="004101A1" w:rsidRDefault="004101A1" w:rsidP="004101A1">
      <w:pPr>
        <w:pStyle w:val="ListParagraph"/>
      </w:pPr>
    </w:p>
    <w:p w14:paraId="162CE605" w14:textId="6AB6DE39" w:rsidR="004101A1" w:rsidRDefault="004101A1" w:rsidP="00AA41CD">
      <w:pPr>
        <w:pStyle w:val="ListParagraph"/>
        <w:numPr>
          <w:ilvl w:val="0"/>
          <w:numId w:val="3"/>
        </w:numPr>
      </w:pPr>
      <w:r>
        <w:t>Carry your keys at all times and do not lend</w:t>
      </w:r>
      <w:r w:rsidR="005F4E17">
        <w:t xml:space="preserve"> them to anyone.</w:t>
      </w:r>
    </w:p>
    <w:p w14:paraId="003B435F" w14:textId="77777777" w:rsidR="005F4E17" w:rsidRDefault="005F4E17" w:rsidP="005F4E17">
      <w:pPr>
        <w:pStyle w:val="ListParagraph"/>
      </w:pPr>
    </w:p>
    <w:p w14:paraId="0E6CD530" w14:textId="78668D7D" w:rsidR="005F4E17" w:rsidRDefault="005F4E17" w:rsidP="00AA41CD">
      <w:pPr>
        <w:pStyle w:val="ListParagraph"/>
        <w:numPr>
          <w:ilvl w:val="0"/>
          <w:numId w:val="3"/>
        </w:numPr>
      </w:pPr>
      <w:r>
        <w:lastRenderedPageBreak/>
        <w:t>Always lock the door to your residence, whether or not you are inside.  Be certain that your door is locked when you go to sleep and keep windows closed and loc</w:t>
      </w:r>
      <w:r w:rsidR="00C72E66">
        <w:t>k</w:t>
      </w:r>
      <w:r>
        <w:t>ed when you are not at home.</w:t>
      </w:r>
    </w:p>
    <w:p w14:paraId="704662F3" w14:textId="77777777" w:rsidR="005F4E17" w:rsidRDefault="005F4E17" w:rsidP="005F4E17">
      <w:pPr>
        <w:pStyle w:val="ListParagraph"/>
      </w:pPr>
    </w:p>
    <w:p w14:paraId="42C08F4D" w14:textId="51B719D3" w:rsidR="005F4E17" w:rsidRDefault="00C72E66" w:rsidP="00AA41CD">
      <w:pPr>
        <w:pStyle w:val="ListParagraph"/>
        <w:numPr>
          <w:ilvl w:val="0"/>
          <w:numId w:val="3"/>
        </w:numPr>
      </w:pPr>
      <w:r>
        <w:t>Report any safety-related problems and maintenance concerns immediately to the appropriate authority.</w:t>
      </w:r>
    </w:p>
    <w:p w14:paraId="55982ECD" w14:textId="77777777" w:rsidR="00C72E66" w:rsidRDefault="00C72E66" w:rsidP="00C72E66">
      <w:pPr>
        <w:pStyle w:val="ListParagraph"/>
      </w:pPr>
    </w:p>
    <w:p w14:paraId="1BD1AAF5" w14:textId="5AE75D0B" w:rsidR="00C72E66" w:rsidRDefault="00051F14" w:rsidP="00AA41CD">
      <w:pPr>
        <w:pStyle w:val="ListParagraph"/>
        <w:numPr>
          <w:ilvl w:val="0"/>
          <w:numId w:val="3"/>
        </w:numPr>
      </w:pPr>
      <w:r>
        <w:t>Inventory your personal property and insure it appropriately with personal insurance cover</w:t>
      </w:r>
      <w:r w:rsidR="003762E0">
        <w:t>age.  Engrave serial numbers or owner’s recognized numbers, such as a driver’s license number, on items of value.</w:t>
      </w:r>
    </w:p>
    <w:p w14:paraId="26DBE606" w14:textId="77777777" w:rsidR="003762E0" w:rsidRDefault="003762E0" w:rsidP="003762E0">
      <w:pPr>
        <w:pStyle w:val="ListParagraph"/>
      </w:pPr>
    </w:p>
    <w:p w14:paraId="28E9A7ED" w14:textId="56334FC4" w:rsidR="003762E0" w:rsidRDefault="00477D7C" w:rsidP="00AA41CD">
      <w:pPr>
        <w:pStyle w:val="ListParagraph"/>
        <w:numPr>
          <w:ilvl w:val="0"/>
          <w:numId w:val="3"/>
        </w:numPr>
      </w:pPr>
      <w:r>
        <w:t>Lock up bicycles and motorcycles.  Lock car doors and close windows when leaving your car.</w:t>
      </w:r>
    </w:p>
    <w:p w14:paraId="55BB3782" w14:textId="77777777" w:rsidR="00092052" w:rsidRDefault="00092052" w:rsidP="00092052">
      <w:pPr>
        <w:pStyle w:val="ListParagraph"/>
      </w:pPr>
    </w:p>
    <w:p w14:paraId="188C3433" w14:textId="34959B5E" w:rsidR="00092052" w:rsidRDefault="00092052" w:rsidP="00AA41CD">
      <w:pPr>
        <w:pStyle w:val="ListParagraph"/>
        <w:numPr>
          <w:ilvl w:val="0"/>
          <w:numId w:val="3"/>
        </w:numPr>
      </w:pPr>
      <w:r>
        <w:t>In the event of a fire alarm sounding, follow all building evacuation procedures.</w:t>
      </w:r>
    </w:p>
    <w:p w14:paraId="3E7728C2" w14:textId="77777777" w:rsidR="00092052" w:rsidRDefault="00092052" w:rsidP="00092052">
      <w:pPr>
        <w:pStyle w:val="ListParagraph"/>
      </w:pPr>
    </w:p>
    <w:p w14:paraId="56275866" w14:textId="0A93A6D2" w:rsidR="00092052" w:rsidRDefault="00092052" w:rsidP="00AA41CD">
      <w:pPr>
        <w:pStyle w:val="ListParagraph"/>
        <w:numPr>
          <w:ilvl w:val="0"/>
          <w:numId w:val="3"/>
        </w:numPr>
      </w:pPr>
      <w:r>
        <w:t>In the event of a crime, save any evidence</w:t>
      </w:r>
      <w:r w:rsidR="001C27CE">
        <w:t>.  Do not remove any evidence until officers are able to respond and investigate.</w:t>
      </w:r>
    </w:p>
    <w:p w14:paraId="273069AE" w14:textId="77777777" w:rsidR="001C27CE" w:rsidRDefault="001C27CE" w:rsidP="001C27CE">
      <w:pPr>
        <w:pStyle w:val="ListParagraph"/>
      </w:pPr>
    </w:p>
    <w:p w14:paraId="3457CBC1" w14:textId="65B1BB75" w:rsidR="001C27CE" w:rsidRDefault="001C27CE" w:rsidP="00AA41CD">
      <w:pPr>
        <w:pStyle w:val="ListParagraph"/>
        <w:numPr>
          <w:ilvl w:val="0"/>
          <w:numId w:val="3"/>
        </w:numPr>
      </w:pPr>
      <w:r>
        <w:t xml:space="preserve">Do not hesitate to approach Campus Safety Officers with suggestions, questions, or concerns.  Get to know them!  If we build a collective sense of stewardship for each other and the </w:t>
      </w:r>
      <w:r w:rsidR="00BB6A85">
        <w:t>NHSC</w:t>
      </w:r>
      <w:r>
        <w:t xml:space="preserve"> community</w:t>
      </w:r>
      <w:r w:rsidR="00BB6A85">
        <w:t>, together we can make a difference.</w:t>
      </w:r>
    </w:p>
    <w:p w14:paraId="335012A4" w14:textId="77777777" w:rsidR="00BB6A85" w:rsidRDefault="00BB6A85" w:rsidP="00BB6A85">
      <w:pPr>
        <w:pStyle w:val="ListParagraph"/>
      </w:pPr>
    </w:p>
    <w:p w14:paraId="11779306" w14:textId="65B6E47C" w:rsidR="00BB6A85" w:rsidRPr="000210E2" w:rsidRDefault="007275DF" w:rsidP="000210E2">
      <w:pPr>
        <w:pStyle w:val="Heading1"/>
        <w:rPr>
          <w:rFonts w:asciiTheme="minorHAnsi" w:hAnsiTheme="minorHAnsi" w:cstheme="minorHAnsi"/>
          <w:sz w:val="32"/>
        </w:rPr>
      </w:pPr>
      <w:bookmarkStart w:id="27" w:name="_Toc209014381"/>
      <w:r w:rsidRPr="000210E2">
        <w:rPr>
          <w:rFonts w:asciiTheme="minorHAnsi" w:hAnsiTheme="minorHAnsi" w:cstheme="minorHAnsi"/>
          <w:sz w:val="32"/>
        </w:rPr>
        <w:t>7.0</w:t>
      </w:r>
      <w:r w:rsidRPr="000210E2">
        <w:rPr>
          <w:rFonts w:asciiTheme="minorHAnsi" w:hAnsiTheme="minorHAnsi" w:cstheme="minorHAnsi"/>
          <w:sz w:val="32"/>
        </w:rPr>
        <w:tab/>
      </w:r>
      <w:r w:rsidR="00D15FCB">
        <w:rPr>
          <w:rFonts w:asciiTheme="minorHAnsi" w:hAnsiTheme="minorHAnsi" w:cstheme="minorHAnsi"/>
          <w:sz w:val="32"/>
        </w:rPr>
        <w:tab/>
      </w:r>
      <w:r w:rsidRPr="000210E2">
        <w:rPr>
          <w:rFonts w:asciiTheme="minorHAnsi" w:hAnsiTheme="minorHAnsi" w:cstheme="minorHAnsi"/>
          <w:sz w:val="32"/>
        </w:rPr>
        <w:t>Emergency Management</w:t>
      </w:r>
      <w:bookmarkEnd w:id="27"/>
    </w:p>
    <w:p w14:paraId="5F4BB937" w14:textId="002833B7" w:rsidR="008578A9" w:rsidRDefault="008C5A17" w:rsidP="007275DF">
      <w:r>
        <w:t>NHSC’s Emergency Operations Plan (EOP) establishes policies, procedures, and an organizational</w:t>
      </w:r>
      <w:r w:rsidR="004F155B">
        <w:t xml:space="preserve"> structure for the mitigation, preparedness, response, and recovery for emergency events impacting the NHSC ca</w:t>
      </w:r>
      <w:r w:rsidR="00FC3232">
        <w:t xml:space="preserve">mpus.  </w:t>
      </w:r>
    </w:p>
    <w:p w14:paraId="52C9B97C" w14:textId="3D2797CB" w:rsidR="00EE0FB5" w:rsidRDefault="00723791" w:rsidP="007275DF">
      <w:r>
        <w:lastRenderedPageBreak/>
        <w:t>The college</w:t>
      </w:r>
      <w:r w:rsidR="008578A9">
        <w:t xml:space="preserve"> conducts emergency response exercises each year, including tabletop exercises, field exercises, and tests of N</w:t>
      </w:r>
      <w:r w:rsidR="001379ED">
        <w:t>HSC emergency communication systems.  These tests are designed to evaluate department emergency plans and capabilities of the institution and educate the campus community</w:t>
      </w:r>
      <w:r w:rsidR="00EE0FB5">
        <w:t xml:space="preserve"> on the systems they may encounter.</w:t>
      </w:r>
    </w:p>
    <w:p w14:paraId="250269D6" w14:textId="1FEE9B7D" w:rsidR="005E5E86" w:rsidRPr="000210E2" w:rsidRDefault="00EE0FB5" w:rsidP="000210E2">
      <w:pPr>
        <w:pStyle w:val="Heading2"/>
        <w:rPr>
          <w:rFonts w:asciiTheme="minorHAnsi" w:hAnsiTheme="minorHAnsi" w:cstheme="minorHAnsi"/>
          <w:sz w:val="24"/>
          <w:szCs w:val="24"/>
        </w:rPr>
      </w:pPr>
      <w:bookmarkStart w:id="28" w:name="_Toc209014382"/>
      <w:r w:rsidRPr="000210E2">
        <w:rPr>
          <w:rFonts w:asciiTheme="minorHAnsi" w:hAnsiTheme="minorHAnsi" w:cstheme="minorHAnsi"/>
          <w:sz w:val="24"/>
          <w:szCs w:val="24"/>
        </w:rPr>
        <w:t>7.1</w:t>
      </w:r>
      <w:r w:rsidRPr="000210E2">
        <w:rPr>
          <w:rFonts w:asciiTheme="minorHAnsi" w:hAnsiTheme="minorHAnsi" w:cstheme="minorHAnsi"/>
          <w:sz w:val="24"/>
          <w:szCs w:val="24"/>
        </w:rPr>
        <w:tab/>
        <w:t>EMERGENCY MANAGEMENT RESPONSE AND EVACUATION PROCEDURES</w:t>
      </w:r>
      <w:bookmarkEnd w:id="28"/>
    </w:p>
    <w:p w14:paraId="214ADAC7" w14:textId="6772545D" w:rsidR="00B33113" w:rsidRDefault="003C4E75" w:rsidP="007275DF">
      <w:r>
        <w:t>E</w:t>
      </w:r>
      <w:r w:rsidR="005E5E86">
        <w:t>mergency response personnel have received training in the principles of the</w:t>
      </w:r>
      <w:r w:rsidR="00966682">
        <w:t xml:space="preserve"> Incident Command System (ICS)</w:t>
      </w:r>
      <w:r w:rsidR="00F552D4">
        <w:t xml:space="preserve"> in responding to critical incidents on the NHSC campus.  When a serious incident occurs that causes an immediate threat to the campus, the first responders t</w:t>
      </w:r>
      <w:r w:rsidR="00A6514B">
        <w:t>o</w:t>
      </w:r>
      <w:r w:rsidR="00F552D4">
        <w:t xml:space="preserve"> the scene</w:t>
      </w:r>
      <w:r w:rsidR="00966682">
        <w:t xml:space="preserve"> </w:t>
      </w:r>
      <w:r w:rsidR="00A6514B">
        <w:t>are usually Campus Safety Office, TAT, New Town Police and the Mountr</w:t>
      </w:r>
      <w:r w:rsidR="00B33113">
        <w:t>ail County Sheriff’s Department.  These entities work together to manage the incident.  Depending on the nature of the incident, affected NHSC departments and other local, state, or federal agencies may also be involved through the provision of mutual aid.</w:t>
      </w:r>
    </w:p>
    <w:p w14:paraId="33875937" w14:textId="77777777" w:rsidR="00DF572C" w:rsidRDefault="00DF572C" w:rsidP="007275DF">
      <w:r>
        <w:t>General information about the emergency response and evacuation procedures for NHSC is published in the Annual Security Report as part of the institution’s Clery Act compliance efforts.</w:t>
      </w:r>
    </w:p>
    <w:p w14:paraId="4B6A8207" w14:textId="77777777" w:rsidR="008D0385" w:rsidRDefault="008D0385" w:rsidP="007275DF">
      <w:pPr>
        <w:rPr>
          <w:b/>
          <w:bCs/>
        </w:rPr>
      </w:pPr>
      <w:r>
        <w:rPr>
          <w:b/>
          <w:bCs/>
        </w:rPr>
        <w:t>College Campus Evacuation Guidelines</w:t>
      </w:r>
    </w:p>
    <w:p w14:paraId="4C789631" w14:textId="77777777" w:rsidR="00583800" w:rsidRDefault="00EB0E96" w:rsidP="007275DF">
      <w:r>
        <w:t>An evacuation is defined as the em</w:t>
      </w:r>
      <w:r w:rsidR="00D35DDD">
        <w:t>ptying of an occupied area and the transference of its occupants to a safe location.  Should it become necessary</w:t>
      </w:r>
      <w:r w:rsidR="00D47014">
        <w:t xml:space="preserve"> to evacuate a building, an area, or the entire campus, NHSC has procedures in place.  In the event of an emergency or dangerous situation, the Campus Safety/Maintenance personnel will direct students, staff, faculty, and guests</w:t>
      </w:r>
      <w:r w:rsidR="00BD4F52">
        <w:t xml:space="preserve"> to evacuate a building, several buildings, a portion of the campus, or the entire campus.  The campus community will be asked to follow</w:t>
      </w:r>
      <w:r w:rsidR="00583800">
        <w:t xml:space="preserve"> building and campus evacuation protocols and to obey directions from NHSC and on-scene emergency responders.</w:t>
      </w:r>
    </w:p>
    <w:p w14:paraId="0062EF76" w14:textId="77777777" w:rsidR="00055AB3" w:rsidRDefault="00583800" w:rsidP="007275DF">
      <w:r>
        <w:t>Certain events, like hazardous</w:t>
      </w:r>
      <w:r w:rsidR="00055AB3">
        <w:t xml:space="preserve"> materials release, may require the NHSC community and the general public to shelter-in-place to prevent exposure to harmful elements.</w:t>
      </w:r>
    </w:p>
    <w:p w14:paraId="0FF290D2" w14:textId="77777777" w:rsidR="00A17E95" w:rsidRPr="00821F39" w:rsidRDefault="00A17E95" w:rsidP="007275DF">
      <w:pPr>
        <w:rPr>
          <w:color w:val="0072C6" w:themeColor="accent1"/>
        </w:rPr>
      </w:pPr>
      <w:r w:rsidRPr="00821F39">
        <w:rPr>
          <w:color w:val="0072C6" w:themeColor="accent1"/>
        </w:rPr>
        <w:t>Campus-wide evacuations:</w:t>
      </w:r>
    </w:p>
    <w:p w14:paraId="34AFB9BD" w14:textId="433B98F4" w:rsidR="007275DF" w:rsidRDefault="004D3571" w:rsidP="007275DF">
      <w:r>
        <w:lastRenderedPageBreak/>
        <w:t xml:space="preserve">In a major emergency, the decision to implement evacuation procedures generally rests with the members of the </w:t>
      </w:r>
      <w:r w:rsidR="009521CA">
        <w:t xml:space="preserve">college </w:t>
      </w:r>
      <w:r w:rsidR="00EF6D46">
        <w:t>Executive Administrators</w:t>
      </w:r>
      <w:r w:rsidR="009521CA">
        <w:t>.  In situations requiring</w:t>
      </w:r>
      <w:r w:rsidR="00585760">
        <w:t xml:space="preserve"> immediate action, public safety responders (i.e., Policy and Fire) can also order an evacuation.  When evaluating possible evacuation options, consideration will be given to the specific threat that exists (e.g., bomb, fire, storm, earthquake, explosion, hazardous materials incident), its context (e.g., time of day</w:t>
      </w:r>
      <w:r w:rsidR="00600FF3">
        <w:t xml:space="preserve">), and the recommendation of public safety officials.  After a major </w:t>
      </w:r>
      <w:r w:rsidR="00A67B84">
        <w:t>disaster,</w:t>
      </w:r>
      <w:r w:rsidR="00600FF3">
        <w:t xml:space="preserve"> many people may choose to leave campus to check on their family members and homes.  Ideally, individuals should first check in with their </w:t>
      </w:r>
      <w:r w:rsidR="00140C71">
        <w:t xml:space="preserve">Hall </w:t>
      </w:r>
      <w:r w:rsidR="00600FF3">
        <w:t>Safety Representative, so that they are not assumed to be trapped or missing, and they can be informed about emergency information</w:t>
      </w:r>
      <w:r w:rsidR="006C47A3">
        <w:t>.</w:t>
      </w:r>
    </w:p>
    <w:p w14:paraId="193CC216" w14:textId="65F256EF" w:rsidR="006C47A3" w:rsidRDefault="006C47A3" w:rsidP="007275DF">
      <w:r>
        <w:t>A critical element of any evacuation is transportation.  The use of transportation alternatives at NHSC must be taken into account when planning the steps necessary to evacuate all campus occupants, whether they arrived by public transit, single occupants auto, carpool, vanpool, or bicycle</w:t>
      </w:r>
      <w:r w:rsidR="00051271">
        <w:t>.</w:t>
      </w:r>
    </w:p>
    <w:p w14:paraId="1C7D4FB3" w14:textId="364A648B" w:rsidR="00051271" w:rsidRDefault="0037064C" w:rsidP="007275DF">
      <w:r>
        <w:t>The procedures for a campus-wide evacuation will vary depending on the nature of the event.  The Campus Safety Office/Maintenance personnel will take the lead in coordinating and conducting</w:t>
      </w:r>
      <w:r w:rsidR="00567966">
        <w:t xml:space="preserve"> the evacuation, depending on the nature of the event.  In all cases when the decision has been made to evacuate, the campus will likely</w:t>
      </w:r>
      <w:r w:rsidR="00AD5CED">
        <w:t xml:space="preserve"> be evacuated</w:t>
      </w:r>
      <w:r w:rsidR="0021384A">
        <w:t xml:space="preserve"> in stages, beginning with the areas that are in the immediate vicinity of the threat.</w:t>
      </w:r>
      <w:r w:rsidR="001A5E93">
        <w:t xml:space="preserve">  Other areas may then be evacuated, depending on the nature of the threat</w:t>
      </w:r>
      <w:r w:rsidR="009B130B">
        <w:t>.</w:t>
      </w:r>
    </w:p>
    <w:p w14:paraId="54AD9542" w14:textId="1457F692" w:rsidR="00B835E0" w:rsidRDefault="004A5C7B" w:rsidP="007275DF">
      <w:r>
        <w:t>This graduated evacuation is preferable to a total, immediate evacuation as it triages the populations most in danger, minimizes the likelihood of g</w:t>
      </w:r>
      <w:r w:rsidR="009555C0">
        <w:t>r</w:t>
      </w:r>
      <w:r>
        <w:t>idlock</w:t>
      </w:r>
      <w:r w:rsidR="009555C0">
        <w:t xml:space="preserve"> and congestion, and provides for ingress</w:t>
      </w:r>
      <w:r w:rsidR="006A059C">
        <w:t xml:space="preserve"> of emergency vehicles and personnel.  In all cases, evacuees would be directed away from the vicinity of the threat.</w:t>
      </w:r>
    </w:p>
    <w:p w14:paraId="13F2A0D0" w14:textId="6299E86D" w:rsidR="00234F27" w:rsidRPr="000210E2" w:rsidRDefault="006A059C" w:rsidP="007275DF">
      <w:r>
        <w:t>Localized events, such as a single building fire or chemical release evacuation of the immediate area.  Fire or Police</w:t>
      </w:r>
      <w:r w:rsidR="004E5D93">
        <w:t xml:space="preserve"> personnel in this case would direct the evacuation.  During an evacuation, Police personnel will direct traffic at major intersections to maintain a smooth flow of </w:t>
      </w:r>
      <w:r w:rsidR="00723791">
        <w:t>vehicles.</w:t>
      </w:r>
    </w:p>
    <w:p w14:paraId="1D549892" w14:textId="54066236" w:rsidR="000C6C6F" w:rsidRPr="00821F39" w:rsidRDefault="000C6C6F" w:rsidP="007275DF">
      <w:pPr>
        <w:rPr>
          <w:color w:val="0072C6" w:themeColor="accent1"/>
        </w:rPr>
      </w:pPr>
      <w:r w:rsidRPr="00821F39">
        <w:rPr>
          <w:color w:val="0072C6" w:themeColor="accent1"/>
        </w:rPr>
        <w:lastRenderedPageBreak/>
        <w:t>Building Evacuations:</w:t>
      </w:r>
    </w:p>
    <w:p w14:paraId="25EBD1C3" w14:textId="2723D502" w:rsidR="000C6C6F" w:rsidRDefault="00F0170B" w:rsidP="007275DF">
      <w:r w:rsidRPr="00F0170B">
        <w:t>Emergency</w:t>
      </w:r>
      <w:r w:rsidR="00B82F0C">
        <w:t xml:space="preserve"> procedures and state law require that every</w:t>
      </w:r>
      <w:r w:rsidR="008D54BF">
        <w:t>one exit a building when a fire alarm</w:t>
      </w:r>
      <w:r w:rsidR="0022120A">
        <w:t xml:space="preserve"> is activated</w:t>
      </w:r>
      <w:r w:rsidR="00A7710C">
        <w:t>.  Evacuation procedures should be followed according to your department’s plan.  Departmental Safety Representatives (DSRs) will try to make sure that all</w:t>
      </w:r>
      <w:r w:rsidR="003313F4">
        <w:t xml:space="preserve"> members of their department</w:t>
      </w:r>
      <w:r w:rsidR="00F91543">
        <w:t>/unit (and any related students or visitors) are proceeding to the Emergency Assembly Point for their building.  The DSR, without re-entering the building, will then assure as best they can that the building</w:t>
      </w:r>
      <w:r w:rsidR="0011733D">
        <w:t xml:space="preserve"> is </w:t>
      </w:r>
      <w:r w:rsidR="002B607C">
        <w:t>secure</w:t>
      </w:r>
      <w:r w:rsidR="0011733D">
        <w:t xml:space="preserve"> and that all personnel are accounted for.</w:t>
      </w:r>
    </w:p>
    <w:p w14:paraId="03F5767E" w14:textId="3CCD2782" w:rsidR="0011733D" w:rsidRDefault="0011733D" w:rsidP="007275DF">
      <w:r>
        <w:t>When evacuating a building, the following steps should be observed:</w:t>
      </w:r>
    </w:p>
    <w:p w14:paraId="298AD99E" w14:textId="718DB210" w:rsidR="0011733D" w:rsidRDefault="0011733D" w:rsidP="00AA41CD">
      <w:pPr>
        <w:pStyle w:val="ListParagraph"/>
        <w:numPr>
          <w:ilvl w:val="0"/>
          <w:numId w:val="4"/>
        </w:numPr>
        <w:spacing w:line="480" w:lineRule="auto"/>
      </w:pPr>
      <w:r>
        <w:t>Proceed toward the nearest safe exit.</w:t>
      </w:r>
    </w:p>
    <w:p w14:paraId="48A87B7A" w14:textId="3F7D97CF" w:rsidR="0011733D" w:rsidRDefault="00CB7DFA" w:rsidP="00AA41CD">
      <w:pPr>
        <w:pStyle w:val="ListParagraph"/>
        <w:numPr>
          <w:ilvl w:val="0"/>
          <w:numId w:val="4"/>
        </w:numPr>
        <w:spacing w:line="480" w:lineRule="auto"/>
      </w:pPr>
      <w:r>
        <w:t>Do not use elevators for evacuation because they may be damaged and unreliable.</w:t>
      </w:r>
    </w:p>
    <w:p w14:paraId="392EB7CC" w14:textId="5E2287C6" w:rsidR="00CB7DFA" w:rsidRDefault="00BB6CC1" w:rsidP="00AA41CD">
      <w:pPr>
        <w:pStyle w:val="ListParagraph"/>
        <w:numPr>
          <w:ilvl w:val="0"/>
          <w:numId w:val="4"/>
        </w:numPr>
      </w:pPr>
      <w:r>
        <w:t>After exiting the building go directly to your building Emergency Assembly Point.  If that area is no longer safe, determine the safest place away from imminent danger.</w:t>
      </w:r>
    </w:p>
    <w:p w14:paraId="68838E59" w14:textId="0156F277" w:rsidR="00BB6CC1" w:rsidRDefault="00A65619" w:rsidP="00AA41CD">
      <w:pPr>
        <w:pStyle w:val="ListParagraph"/>
        <w:numPr>
          <w:ilvl w:val="0"/>
          <w:numId w:val="4"/>
        </w:numPr>
        <w:spacing w:line="480" w:lineRule="auto"/>
      </w:pPr>
      <w:r>
        <w:t>Wait for instructions from emergency personnel.</w:t>
      </w:r>
    </w:p>
    <w:p w14:paraId="48EA609A" w14:textId="51C3A384" w:rsidR="00A65619" w:rsidRDefault="00A65619" w:rsidP="00AA41CD">
      <w:pPr>
        <w:pStyle w:val="ListParagraph"/>
        <w:numPr>
          <w:ilvl w:val="0"/>
          <w:numId w:val="4"/>
        </w:numPr>
        <w:spacing w:line="480" w:lineRule="auto"/>
      </w:pPr>
      <w:r>
        <w:t>DO NOT return to your building until notified by emergency personnel.</w:t>
      </w:r>
    </w:p>
    <w:p w14:paraId="4F1044EA" w14:textId="48A2037C" w:rsidR="002F47F4" w:rsidRDefault="002F47F4" w:rsidP="002F47F4">
      <w:pPr>
        <w:spacing w:line="480" w:lineRule="auto"/>
        <w:rPr>
          <w:color w:val="0072C6" w:themeColor="accent1"/>
        </w:rPr>
      </w:pPr>
      <w:r>
        <w:rPr>
          <w:color w:val="0072C6" w:themeColor="accent1"/>
        </w:rPr>
        <w:t>Evacuation of persons with impaired mobility:</w:t>
      </w:r>
    </w:p>
    <w:p w14:paraId="00284957" w14:textId="23790BD8" w:rsidR="002F47F4" w:rsidRDefault="007C38DB" w:rsidP="002F47F4">
      <w:pPr>
        <w:spacing w:line="480" w:lineRule="auto"/>
      </w:pPr>
      <w:r>
        <w:t>When an elevator is not available or safe for use during an emergency the following procedures have been developed for thos</w:t>
      </w:r>
      <w:r w:rsidR="00921A94">
        <w:t>e</w:t>
      </w:r>
      <w:r>
        <w:t xml:space="preserve"> unable to use the stairs in multi</w:t>
      </w:r>
      <w:r w:rsidR="00921A94">
        <w:t>-story buildings:</w:t>
      </w:r>
    </w:p>
    <w:p w14:paraId="1B77B4F6" w14:textId="2ABB068C" w:rsidR="00921A94" w:rsidRDefault="00921A94" w:rsidP="00AA41CD">
      <w:pPr>
        <w:pStyle w:val="ListParagraph"/>
        <w:numPr>
          <w:ilvl w:val="0"/>
          <w:numId w:val="5"/>
        </w:numPr>
      </w:pPr>
      <w:r>
        <w:t>Designated personnel should escort individuals with impaired mobility to a refuge such as an enclosed stairwell landing that leads to an exterior</w:t>
      </w:r>
      <w:r w:rsidR="00FE4396">
        <w:t xml:space="preserve"> exit at the ground level.</w:t>
      </w:r>
    </w:p>
    <w:p w14:paraId="12F943B1" w14:textId="7D512138" w:rsidR="00FE4396" w:rsidRDefault="00FE4396" w:rsidP="00AA41CD">
      <w:pPr>
        <w:pStyle w:val="ListParagraph"/>
        <w:numPr>
          <w:ilvl w:val="0"/>
          <w:numId w:val="5"/>
        </w:numPr>
      </w:pPr>
      <w:r>
        <w:t>Someone should remain with the individual while another person notifies arriving emergency personnel of the location of the person who needs assistance.</w:t>
      </w:r>
    </w:p>
    <w:p w14:paraId="08140682" w14:textId="26978318" w:rsidR="00FE4396" w:rsidRDefault="00FE4396" w:rsidP="00AA41CD">
      <w:pPr>
        <w:pStyle w:val="ListParagraph"/>
        <w:numPr>
          <w:ilvl w:val="0"/>
          <w:numId w:val="5"/>
        </w:numPr>
      </w:pPr>
      <w:r>
        <w:lastRenderedPageBreak/>
        <w:t xml:space="preserve">The instructions of emergency responders should be as followed, and </w:t>
      </w:r>
      <w:r w:rsidR="00723791">
        <w:t>no</w:t>
      </w:r>
      <w:r>
        <w:t xml:space="preserve"> attempt should be made to move the individual to another building level unless there is imminent danger</w:t>
      </w:r>
      <w:r w:rsidR="00ED1FAC">
        <w:t xml:space="preserve"> in the refuge.</w:t>
      </w:r>
    </w:p>
    <w:p w14:paraId="3F07112A" w14:textId="046714C0" w:rsidR="00ED1FAC" w:rsidRDefault="00ED1FAC" w:rsidP="00AA41CD">
      <w:pPr>
        <w:pStyle w:val="ListParagraph"/>
        <w:numPr>
          <w:ilvl w:val="0"/>
          <w:numId w:val="5"/>
        </w:numPr>
      </w:pPr>
      <w:r>
        <w:t>Individuals who are alone and unable to utilize the stairs should call 911 and report the location of their planned refuge.</w:t>
      </w:r>
    </w:p>
    <w:p w14:paraId="1C546862" w14:textId="02069339" w:rsidR="000210E2" w:rsidRPr="00140C71" w:rsidRDefault="0081306A" w:rsidP="00140C71">
      <w:pPr>
        <w:pStyle w:val="ListParagraph"/>
        <w:numPr>
          <w:ilvl w:val="0"/>
          <w:numId w:val="5"/>
        </w:numPr>
      </w:pPr>
      <w:r>
        <w:t>Anyone unable to reach a stairwell (for instance due to smoke), should close all doors into there are, call 911, and wait for emergency personnel to arrive.</w:t>
      </w:r>
    </w:p>
    <w:p w14:paraId="5686E7D5" w14:textId="0E959A7D" w:rsidR="002F30BF" w:rsidRDefault="002F30BF" w:rsidP="002F30BF">
      <w:pPr>
        <w:spacing w:line="480" w:lineRule="auto"/>
        <w:ind w:left="360"/>
        <w:rPr>
          <w:b/>
          <w:bCs/>
        </w:rPr>
      </w:pPr>
      <w:r>
        <w:rPr>
          <w:b/>
          <w:bCs/>
        </w:rPr>
        <w:t>Roles and Responsibilities</w:t>
      </w:r>
    </w:p>
    <w:p w14:paraId="5EC10BFC" w14:textId="519D4AC9" w:rsidR="002F30BF" w:rsidRDefault="002F30BF" w:rsidP="00AD632A">
      <w:pPr>
        <w:ind w:left="360"/>
      </w:pPr>
      <w:r>
        <w:t xml:space="preserve">Responsibilities for emergency planning and response reside at all levels.  The success of this effort is dependent </w:t>
      </w:r>
      <w:r w:rsidR="003F4C72">
        <w:t xml:space="preserve">upon good </w:t>
      </w:r>
      <w:r w:rsidR="003C471F">
        <w:t>management planning and upon all employees becoming familiar with the information that applies to them prior to an actual emergency.</w:t>
      </w:r>
    </w:p>
    <w:p w14:paraId="47B79931" w14:textId="0F90FA71" w:rsidR="003C471F" w:rsidRDefault="003C471F" w:rsidP="00AD632A">
      <w:pPr>
        <w:ind w:left="360"/>
      </w:pPr>
      <w:r>
        <w:t>Every college employee can potentially play a role in the Incident Command System (ICS).  Perhaps the most critical aspect of the ICS is communication</w:t>
      </w:r>
      <w:r w:rsidR="00D50AB7">
        <w:t>; accurate reports from the scene of an incident are essential</w:t>
      </w:r>
      <w:r w:rsidR="00D63E73">
        <w:t xml:space="preserve"> to providing adequate emergency services.  Similarly, </w:t>
      </w:r>
      <w:r w:rsidR="002B607C">
        <w:t>the campus</w:t>
      </w:r>
      <w:r w:rsidR="00387081">
        <w:t xml:space="preserve"> community must receive up-to-date</w:t>
      </w:r>
      <w:r w:rsidR="00944318">
        <w:t xml:space="preserve"> instructions concerning disaster response procedures and news of the evolving incidents.  Command posts, staffed by Incident</w:t>
      </w:r>
      <w:r w:rsidR="00977BC9">
        <w:t xml:space="preserve"> Commanders at the scene of each major situation, will provide a standardized process for site incident command of emergency operations in the field.  Command posts will also provide a location to meet and coordinate with arriving resources and will establish and maintain communications with the EOC.</w:t>
      </w:r>
    </w:p>
    <w:p w14:paraId="50949DB5" w14:textId="27767182" w:rsidR="00977BC9" w:rsidRDefault="00977BC9" w:rsidP="00AD632A">
      <w:pPr>
        <w:ind w:left="360"/>
        <w:rPr>
          <w:color w:val="7F7F7F" w:themeColor="text1" w:themeTint="80"/>
        </w:rPr>
      </w:pPr>
      <w:r>
        <w:rPr>
          <w:color w:val="0072C6" w:themeColor="accent1"/>
        </w:rPr>
        <w:t>Role of students:</w:t>
      </w:r>
    </w:p>
    <w:p w14:paraId="5C098FC8" w14:textId="3DA25736" w:rsidR="00977BC9" w:rsidRDefault="00F76C0D" w:rsidP="00AD632A">
      <w:pPr>
        <w:ind w:left="360"/>
        <w:rPr>
          <w:color w:val="7F7F7F" w:themeColor="text1" w:themeTint="80"/>
        </w:rPr>
      </w:pPr>
      <w:r>
        <w:rPr>
          <w:color w:val="7F7F7F" w:themeColor="text1" w:themeTint="80"/>
        </w:rPr>
        <w:t>All students should familiarize themselves with the emergency procedures and evacuation routes in buildings they live in or use frequently</w:t>
      </w:r>
      <w:r w:rsidR="00673AD8">
        <w:rPr>
          <w:color w:val="7F7F7F" w:themeColor="text1" w:themeTint="80"/>
        </w:rPr>
        <w:t>.  Students much be prepared to assess situations quickly but thoroughly and use common sense in determining</w:t>
      </w:r>
      <w:r w:rsidR="00F26CD3">
        <w:rPr>
          <w:color w:val="7F7F7F" w:themeColor="text1" w:themeTint="80"/>
        </w:rPr>
        <w:t xml:space="preserve"> a course of action.  They should evacuate to assembly areas in an orderly manner when an alarm sounds or when directed to do so by emergency per</w:t>
      </w:r>
      <w:r w:rsidR="00A207A5">
        <w:rPr>
          <w:color w:val="7F7F7F" w:themeColor="text1" w:themeTint="80"/>
        </w:rPr>
        <w:t>sonnel.</w:t>
      </w:r>
    </w:p>
    <w:p w14:paraId="3730DF28" w14:textId="0F48EDF5" w:rsidR="00A207A5" w:rsidRDefault="00A207A5" w:rsidP="00AD632A">
      <w:pPr>
        <w:ind w:left="360"/>
        <w:rPr>
          <w:color w:val="7F7F7F" w:themeColor="text1" w:themeTint="80"/>
        </w:rPr>
      </w:pPr>
      <w:r>
        <w:rPr>
          <w:color w:val="0072C6" w:themeColor="accent1"/>
        </w:rPr>
        <w:lastRenderedPageBreak/>
        <w:t>Role of faculty and staff:</w:t>
      </w:r>
    </w:p>
    <w:p w14:paraId="67C6AAA6" w14:textId="010CB6FA" w:rsidR="00A207A5" w:rsidRDefault="00A207A5" w:rsidP="00AD632A">
      <w:pPr>
        <w:ind w:left="360"/>
        <w:rPr>
          <w:color w:val="7F7F7F" w:themeColor="text1" w:themeTint="80"/>
        </w:rPr>
      </w:pPr>
      <w:r>
        <w:rPr>
          <w:color w:val="7F7F7F" w:themeColor="text1" w:themeTint="80"/>
        </w:rPr>
        <w:t>All members of the faculty and staff should read and understand their Department Emergency Action Plans and famil</w:t>
      </w:r>
      <w:r w:rsidR="00E31646">
        <w:rPr>
          <w:color w:val="7F7F7F" w:themeColor="text1" w:themeTint="80"/>
        </w:rPr>
        <w:t>iarize themselves with their emergency procedures and evacuation routes.  Employees must be prepared to assess situations quickly but</w:t>
      </w:r>
      <w:r w:rsidR="00064C2B">
        <w:rPr>
          <w:color w:val="7F7F7F" w:themeColor="text1" w:themeTint="80"/>
        </w:rPr>
        <w:t xml:space="preserve"> thoroughly and use commonsense in determining</w:t>
      </w:r>
      <w:r w:rsidR="000559AC">
        <w:rPr>
          <w:color w:val="7F7F7F" w:themeColor="text1" w:themeTint="80"/>
        </w:rPr>
        <w:t xml:space="preserve"> a course of action.  They should follow Emergency Plan procedures to report a fire or other emergenc</w:t>
      </w:r>
      <w:r w:rsidR="00593BCE">
        <w:rPr>
          <w:color w:val="7F7F7F" w:themeColor="text1" w:themeTint="80"/>
        </w:rPr>
        <w:t>ies that require immediate attention, establish contact with their Department Safety Representative, and evacuate the building to pre-designated areas in an</w:t>
      </w:r>
      <w:r w:rsidR="008B4218">
        <w:rPr>
          <w:color w:val="7F7F7F" w:themeColor="text1" w:themeTint="80"/>
        </w:rPr>
        <w:t xml:space="preserve"> orderly manner.  Faculty members are seen as leaders by students and should be prepared to direct their students to assembly</w:t>
      </w:r>
      <w:r w:rsidR="004E770F">
        <w:rPr>
          <w:color w:val="7F7F7F" w:themeColor="text1" w:themeTint="80"/>
        </w:rPr>
        <w:t xml:space="preserve"> areas in the event of an emergency.</w:t>
      </w:r>
    </w:p>
    <w:p w14:paraId="6D87818C" w14:textId="2332B6AE" w:rsidR="004E770F" w:rsidRDefault="004E770F" w:rsidP="00AD632A">
      <w:pPr>
        <w:ind w:left="360"/>
        <w:rPr>
          <w:color w:val="0072C6" w:themeColor="accent1"/>
        </w:rPr>
      </w:pPr>
      <w:r>
        <w:rPr>
          <w:color w:val="0072C6" w:themeColor="accent1"/>
        </w:rPr>
        <w:t>Role of Department Safety</w:t>
      </w:r>
      <w:r w:rsidR="00DA15C6">
        <w:rPr>
          <w:color w:val="0072C6" w:themeColor="accent1"/>
        </w:rPr>
        <w:t xml:space="preserve"> Representatives:</w:t>
      </w:r>
    </w:p>
    <w:p w14:paraId="4507CFF7" w14:textId="25F073C2" w:rsidR="00721469" w:rsidRDefault="00164AED" w:rsidP="00AD632A">
      <w:pPr>
        <w:ind w:left="360"/>
      </w:pPr>
      <w:r>
        <w:t xml:space="preserve">Department Safety Representatives (DSRs), designated by the Department Head, are responsible for coordinating the department’s </w:t>
      </w:r>
      <w:r w:rsidR="00D0536E">
        <w:t>emergency planning activities and for implementation of a Departmental Emergency Action Plan.  In the event of an emergency, the DSR is responsible for assisting with the safe evacuation of their department and assessing injuries and damage to department personnel and property</w:t>
      </w:r>
      <w:r w:rsidR="00822636">
        <w:t xml:space="preserve">.  They also serve as the primary contact to the campus Emergency Operations Center (EOC).  The DSR collects </w:t>
      </w:r>
      <w:r w:rsidR="003D69FB">
        <w:t xml:space="preserve">and reports information on the department’s status and also receives information and </w:t>
      </w:r>
      <w:r w:rsidR="00F6665C">
        <w:t>directions</w:t>
      </w:r>
      <w:r w:rsidR="003D69FB">
        <w:t xml:space="preserve"> from the EOC.  They disseminate information back to</w:t>
      </w:r>
      <w:r w:rsidR="00C57F05">
        <w:t xml:space="preserve"> their department, providing </w:t>
      </w:r>
      <w:r w:rsidR="00F6665C">
        <w:t>directions</w:t>
      </w:r>
      <w:r w:rsidR="00C57F05">
        <w:t xml:space="preserve"> and information on available resources.</w:t>
      </w:r>
    </w:p>
    <w:p w14:paraId="5DF5E9F2" w14:textId="022FF0BF" w:rsidR="00C57F05" w:rsidRDefault="00C57F05" w:rsidP="00AD632A">
      <w:pPr>
        <w:ind w:left="360"/>
        <w:rPr>
          <w:b/>
          <w:bCs/>
        </w:rPr>
      </w:pPr>
      <w:r>
        <w:rPr>
          <w:b/>
          <w:bCs/>
        </w:rPr>
        <w:t>Persons with Access or Functional Needs</w:t>
      </w:r>
    </w:p>
    <w:p w14:paraId="48CE1756" w14:textId="202FADB0" w:rsidR="00C57F05" w:rsidRDefault="00C70000" w:rsidP="00AD632A">
      <w:pPr>
        <w:ind w:left="360"/>
      </w:pPr>
      <w:r>
        <w:t>As part of the campus Emergency Preparedness Program, we encourage members of the campus</w:t>
      </w:r>
      <w:r w:rsidR="007822CD">
        <w:t xml:space="preserve"> community with access and functional needs to evaluate their individual situation and determine the level of assistance they may require</w:t>
      </w:r>
      <w:r w:rsidR="00216E69">
        <w:t xml:space="preserve"> during an emergency.  A person with one or more of the following concerns is encouraged to follow the recommendations of the Emergency Assistance Program:</w:t>
      </w:r>
    </w:p>
    <w:p w14:paraId="70C4EF12" w14:textId="42982ABD" w:rsidR="009A488D" w:rsidRDefault="009A488D" w:rsidP="00AA41CD">
      <w:pPr>
        <w:pStyle w:val="ListParagraph"/>
        <w:numPr>
          <w:ilvl w:val="0"/>
          <w:numId w:val="6"/>
        </w:numPr>
      </w:pPr>
      <w:r>
        <w:lastRenderedPageBreak/>
        <w:t>Limitations that interfere with walking or using stairs;</w:t>
      </w:r>
    </w:p>
    <w:p w14:paraId="0E739B04" w14:textId="7A8DC473" w:rsidR="009A488D" w:rsidRDefault="00457AC7" w:rsidP="00AA41CD">
      <w:pPr>
        <w:pStyle w:val="ListParagraph"/>
        <w:numPr>
          <w:ilvl w:val="0"/>
          <w:numId w:val="6"/>
        </w:numPr>
      </w:pPr>
      <w:r>
        <w:t>Reduced stamina, fatigue, or tire easily;</w:t>
      </w:r>
    </w:p>
    <w:p w14:paraId="0EEA796B" w14:textId="682E5FBB" w:rsidR="00457AC7" w:rsidRDefault="00457AC7" w:rsidP="00AA41CD">
      <w:pPr>
        <w:pStyle w:val="ListParagraph"/>
        <w:numPr>
          <w:ilvl w:val="0"/>
          <w:numId w:val="6"/>
        </w:numPr>
      </w:pPr>
      <w:r>
        <w:t>Emotional, cognitive, thinking, or learning difficulties;</w:t>
      </w:r>
    </w:p>
    <w:p w14:paraId="76FED130" w14:textId="4934ECFC" w:rsidR="00457AC7" w:rsidRDefault="00457AC7" w:rsidP="00AA41CD">
      <w:pPr>
        <w:pStyle w:val="ListParagraph"/>
        <w:numPr>
          <w:ilvl w:val="0"/>
          <w:numId w:val="6"/>
        </w:numPr>
      </w:pPr>
      <w:r>
        <w:t>Vision or hearing loss;</w:t>
      </w:r>
    </w:p>
    <w:p w14:paraId="21707E46" w14:textId="6011085D" w:rsidR="00457AC7" w:rsidRDefault="00457AC7" w:rsidP="00AA41CD">
      <w:pPr>
        <w:pStyle w:val="ListParagraph"/>
        <w:numPr>
          <w:ilvl w:val="0"/>
          <w:numId w:val="6"/>
        </w:numPr>
      </w:pPr>
      <w:r>
        <w:t>Temporary limitations (surgery, accidents, pregnancy); or</w:t>
      </w:r>
    </w:p>
    <w:p w14:paraId="51BEA5D6" w14:textId="7419DE9C" w:rsidR="00457AC7" w:rsidRDefault="00457AC7" w:rsidP="00AA41CD">
      <w:pPr>
        <w:pStyle w:val="ListParagraph"/>
        <w:numPr>
          <w:ilvl w:val="0"/>
          <w:numId w:val="6"/>
        </w:numPr>
      </w:pPr>
      <w:r>
        <w:t>Us</w:t>
      </w:r>
      <w:r w:rsidR="003177E4">
        <w:t>e</w:t>
      </w:r>
      <w:r>
        <w:t xml:space="preserve"> of technology or medications that could interfere with response time</w:t>
      </w:r>
      <w:r w:rsidR="00BC6B4C">
        <w:t>.</w:t>
      </w:r>
    </w:p>
    <w:p w14:paraId="2A8FD937" w14:textId="7614B14A" w:rsidR="00BC6B4C" w:rsidRDefault="00BC6B4C" w:rsidP="00BC6B4C">
      <w:r>
        <w:t>The Emergency Response Program for Access and Functional Needs provides an opportunity for faculty, staff, and students to create an emergency response action plan, identify a support team for special evacuation situations.</w:t>
      </w:r>
    </w:p>
    <w:p w14:paraId="0F26F433" w14:textId="6080657B" w:rsidR="00BC6B4C" w:rsidRDefault="00BC6B4C" w:rsidP="00BC6B4C">
      <w:r>
        <w:t>If you access and/or fun</w:t>
      </w:r>
      <w:r w:rsidR="00CA60BB">
        <w:t>ctional needs that could impact your ability to promptly respond and evacuate a building or facility during an emergency, please review planning and resource</w:t>
      </w:r>
      <w:r w:rsidR="00585A98">
        <w:t xml:space="preserve"> information in the Emergency Operation Plan.</w:t>
      </w:r>
    </w:p>
    <w:p w14:paraId="09232697" w14:textId="30C17776" w:rsidR="00585A98" w:rsidRPr="000210E2" w:rsidRDefault="00585A98" w:rsidP="000210E2">
      <w:pPr>
        <w:pStyle w:val="Heading2"/>
        <w:rPr>
          <w:rFonts w:asciiTheme="minorHAnsi" w:hAnsiTheme="minorHAnsi" w:cstheme="minorHAnsi"/>
          <w:sz w:val="24"/>
          <w:szCs w:val="24"/>
        </w:rPr>
      </w:pPr>
      <w:bookmarkStart w:id="29" w:name="_Toc209014383"/>
      <w:r w:rsidRPr="000210E2">
        <w:rPr>
          <w:rFonts w:asciiTheme="minorHAnsi" w:hAnsiTheme="minorHAnsi" w:cstheme="minorHAnsi"/>
          <w:sz w:val="24"/>
          <w:szCs w:val="24"/>
        </w:rPr>
        <w:t>7.2</w:t>
      </w:r>
      <w:r w:rsidRPr="000210E2">
        <w:rPr>
          <w:rFonts w:asciiTheme="minorHAnsi" w:hAnsiTheme="minorHAnsi" w:cstheme="minorHAnsi"/>
          <w:sz w:val="24"/>
          <w:szCs w:val="24"/>
        </w:rPr>
        <w:tab/>
        <w:t>EMERGENCY PROCEDURES</w:t>
      </w:r>
      <w:bookmarkEnd w:id="29"/>
    </w:p>
    <w:p w14:paraId="63E5E047" w14:textId="13C2320B" w:rsidR="00585A98" w:rsidRDefault="00D3635D" w:rsidP="00BC6B4C">
      <w:r>
        <w:t>Emergencies can occur without warning at any time.  Being prepared to manage unexpected emergency events is an individual as well as an organizational responsibility.  The following are emergency procedures:</w:t>
      </w:r>
    </w:p>
    <w:p w14:paraId="424A5AFB" w14:textId="22154CD6" w:rsidR="00D3635D" w:rsidRDefault="00D3635D" w:rsidP="00BC6B4C">
      <w:pPr>
        <w:rPr>
          <w:b/>
          <w:bCs/>
        </w:rPr>
      </w:pPr>
      <w:r>
        <w:rPr>
          <w:b/>
          <w:bCs/>
        </w:rPr>
        <w:t>Bomb Threats</w:t>
      </w:r>
    </w:p>
    <w:p w14:paraId="52BE4CBC" w14:textId="722DB8AA" w:rsidR="00D3635D" w:rsidRDefault="00D3635D" w:rsidP="00BC6B4C">
      <w:r>
        <w:t>Bomb Threats usually come by telephone and generally</w:t>
      </w:r>
      <w:r w:rsidR="00255BE0">
        <w:t xml:space="preserve"> are made by individuals who want to create an atmosphere of general anxiety or panic.  All bomb threats should be taken seriously.  By telephone</w:t>
      </w:r>
      <w:r w:rsidR="003F5047">
        <w:t>:</w:t>
      </w:r>
    </w:p>
    <w:p w14:paraId="59CE5F7E" w14:textId="6F782831" w:rsidR="003F5047" w:rsidRDefault="003F5047" w:rsidP="00AA41CD">
      <w:pPr>
        <w:pStyle w:val="ListParagraph"/>
        <w:numPr>
          <w:ilvl w:val="0"/>
          <w:numId w:val="7"/>
        </w:numPr>
      </w:pPr>
      <w:r>
        <w:t>Take the caller seriously but remain calm.</w:t>
      </w:r>
    </w:p>
    <w:p w14:paraId="05136992" w14:textId="2BCD7680" w:rsidR="003F5047" w:rsidRDefault="003F5047" w:rsidP="00AA41CD">
      <w:pPr>
        <w:pStyle w:val="ListParagraph"/>
        <w:numPr>
          <w:ilvl w:val="0"/>
          <w:numId w:val="7"/>
        </w:numPr>
      </w:pPr>
      <w:r>
        <w:t>Ask a lot of questions.</w:t>
      </w:r>
    </w:p>
    <w:p w14:paraId="54AD112A" w14:textId="79A49852" w:rsidR="003F5047" w:rsidRDefault="003F5047" w:rsidP="00AA41CD">
      <w:pPr>
        <w:pStyle w:val="ListParagraph"/>
        <w:numPr>
          <w:ilvl w:val="0"/>
          <w:numId w:val="7"/>
        </w:numPr>
      </w:pPr>
      <w:r>
        <w:t>Take notes on everything said and on your observation</w:t>
      </w:r>
      <w:r w:rsidR="009058F1">
        <w:t>s about background noise, voice characteristics, etc.</w:t>
      </w:r>
    </w:p>
    <w:p w14:paraId="397DAA8A" w14:textId="30B78EF2" w:rsidR="004B57C3" w:rsidRDefault="004B57C3" w:rsidP="00AA41CD">
      <w:pPr>
        <w:pStyle w:val="ListParagraph"/>
        <w:numPr>
          <w:ilvl w:val="0"/>
          <w:numId w:val="7"/>
        </w:numPr>
      </w:pPr>
      <w:r>
        <w:t>If possible, get someone to call Police while you continue talking to the caller.</w:t>
      </w:r>
    </w:p>
    <w:p w14:paraId="7935E7F5" w14:textId="65F16068" w:rsidR="004B57C3" w:rsidRDefault="004B57C3" w:rsidP="00AA41CD">
      <w:pPr>
        <w:pStyle w:val="ListParagraph"/>
        <w:numPr>
          <w:ilvl w:val="0"/>
          <w:numId w:val="7"/>
        </w:numPr>
      </w:pPr>
      <w:r>
        <w:lastRenderedPageBreak/>
        <w:t>Call Police at 911 immediately after the call.</w:t>
      </w:r>
    </w:p>
    <w:p w14:paraId="6A25A9B7" w14:textId="5157ADA3" w:rsidR="00285C07" w:rsidRDefault="00285C07" w:rsidP="00AA41CD">
      <w:pPr>
        <w:pStyle w:val="ListParagraph"/>
        <w:numPr>
          <w:ilvl w:val="0"/>
          <w:numId w:val="7"/>
        </w:numPr>
      </w:pPr>
      <w:r>
        <w:t>Notify your supervisor/department head.</w:t>
      </w:r>
    </w:p>
    <w:p w14:paraId="2C576363" w14:textId="438116F7" w:rsidR="00285C07" w:rsidRDefault="00285C07" w:rsidP="00AA41CD">
      <w:pPr>
        <w:pStyle w:val="ListParagraph"/>
        <w:numPr>
          <w:ilvl w:val="0"/>
          <w:numId w:val="7"/>
        </w:numPr>
      </w:pPr>
      <w:r>
        <w:t xml:space="preserve">Campus Safety Officer will determine if evacuation is necessary.  If </w:t>
      </w:r>
      <w:r w:rsidR="00533648">
        <w:t>you do evacuate, move to your building Emergency Assembly Point.</w:t>
      </w:r>
    </w:p>
    <w:p w14:paraId="4276DCF4" w14:textId="4CA388DE" w:rsidR="000210E2" w:rsidRPr="00140C71" w:rsidRDefault="00533648" w:rsidP="00533648">
      <w:pPr>
        <w:pStyle w:val="ListParagraph"/>
        <w:numPr>
          <w:ilvl w:val="0"/>
          <w:numId w:val="7"/>
        </w:numPr>
      </w:pPr>
      <w:r>
        <w:t>Do not re-enter the area until instructed to do so.</w:t>
      </w:r>
    </w:p>
    <w:p w14:paraId="5BE32E3C" w14:textId="53B42EDE" w:rsidR="00533648" w:rsidRDefault="008373D5" w:rsidP="00533648">
      <w:pPr>
        <w:rPr>
          <w:b/>
          <w:bCs/>
        </w:rPr>
      </w:pPr>
      <w:r>
        <w:rPr>
          <w:b/>
          <w:bCs/>
        </w:rPr>
        <w:t>Chemical Incident</w:t>
      </w:r>
    </w:p>
    <w:p w14:paraId="3E7A4624" w14:textId="5A9FC52B" w:rsidR="008373D5" w:rsidRPr="003C6282" w:rsidRDefault="003C6282" w:rsidP="00533648">
      <w:r w:rsidRPr="003C6282">
        <w:rPr>
          <w:color w:val="0072C6" w:themeColor="accent1"/>
        </w:rPr>
        <w:t>Exposure to personnel:</w:t>
      </w:r>
    </w:p>
    <w:p w14:paraId="53D6EA91" w14:textId="517F5D9E" w:rsidR="003C6282" w:rsidRDefault="00370773" w:rsidP="00AA41CD">
      <w:pPr>
        <w:pStyle w:val="ListParagraph"/>
        <w:numPr>
          <w:ilvl w:val="0"/>
          <w:numId w:val="8"/>
        </w:numPr>
      </w:pPr>
      <w:r>
        <w:t>If it is safe to do so, remove contaminated victim(s) from area.</w:t>
      </w:r>
    </w:p>
    <w:p w14:paraId="4AC908EF" w14:textId="211C51BB" w:rsidR="00370773" w:rsidRDefault="00370773" w:rsidP="00AA41CD">
      <w:pPr>
        <w:pStyle w:val="ListParagraph"/>
        <w:numPr>
          <w:ilvl w:val="0"/>
          <w:numId w:val="8"/>
        </w:numPr>
      </w:pPr>
      <w:r>
        <w:t>Call 911 for immediate medical attention or if chemical release threatens others.  In extreme circumstances, activate the fire alarm and evacuate the building.</w:t>
      </w:r>
    </w:p>
    <w:p w14:paraId="5C4C25F5" w14:textId="769F5C92" w:rsidR="00370773" w:rsidRDefault="00370773" w:rsidP="00AA41CD">
      <w:pPr>
        <w:pStyle w:val="ListParagraph"/>
        <w:numPr>
          <w:ilvl w:val="0"/>
          <w:numId w:val="8"/>
        </w:numPr>
      </w:pPr>
      <w:r>
        <w:t>Remove contaminated clothing and use emergency eyewash/shower.</w:t>
      </w:r>
    </w:p>
    <w:p w14:paraId="122D5588" w14:textId="71910BA5" w:rsidR="00370773" w:rsidRDefault="001D42F7" w:rsidP="00AA41CD">
      <w:pPr>
        <w:pStyle w:val="ListParagraph"/>
        <w:numPr>
          <w:ilvl w:val="0"/>
          <w:numId w:val="8"/>
        </w:numPr>
      </w:pPr>
      <w:r>
        <w:t>Administer first aid as appropriate.</w:t>
      </w:r>
    </w:p>
    <w:p w14:paraId="05E517E2" w14:textId="1FC8654E" w:rsidR="001D42F7" w:rsidRDefault="001D42F7" w:rsidP="00AA41CD">
      <w:pPr>
        <w:pStyle w:val="ListParagraph"/>
        <w:numPr>
          <w:ilvl w:val="0"/>
          <w:numId w:val="8"/>
        </w:numPr>
      </w:pPr>
      <w:r>
        <w:t>Notify Fire Department at 911.</w:t>
      </w:r>
    </w:p>
    <w:p w14:paraId="556B4CAC" w14:textId="44BB66C3" w:rsidR="001D42F7" w:rsidRDefault="005F5441" w:rsidP="001D42F7">
      <w:r>
        <w:rPr>
          <w:color w:val="0072C6" w:themeColor="accent1"/>
        </w:rPr>
        <w:t>Contamination of equipment/facilities:</w:t>
      </w:r>
    </w:p>
    <w:p w14:paraId="42F42B8F" w14:textId="7CF189C1" w:rsidR="005F5441" w:rsidRDefault="00DB5E1C" w:rsidP="00AA41CD">
      <w:pPr>
        <w:pStyle w:val="ListParagraph"/>
        <w:numPr>
          <w:ilvl w:val="0"/>
          <w:numId w:val="9"/>
        </w:numPr>
      </w:pPr>
      <w:r>
        <w:t>If a spill/release is an immediate threat to anyone’s health, call 911.</w:t>
      </w:r>
    </w:p>
    <w:p w14:paraId="548FC8E6" w14:textId="4F3D3C45" w:rsidR="00DB5E1C" w:rsidRDefault="00DB5E1C" w:rsidP="00AA41CD">
      <w:pPr>
        <w:pStyle w:val="ListParagraph"/>
        <w:numPr>
          <w:ilvl w:val="0"/>
          <w:numId w:val="9"/>
        </w:numPr>
      </w:pPr>
      <w:r>
        <w:t>Restrict access to avoid exposure or spread of contamination.</w:t>
      </w:r>
    </w:p>
    <w:p w14:paraId="151356D6" w14:textId="3D4A1C71" w:rsidR="00DB5E1C" w:rsidRDefault="00DB5E1C" w:rsidP="00AA41CD">
      <w:pPr>
        <w:pStyle w:val="ListParagraph"/>
        <w:numPr>
          <w:ilvl w:val="0"/>
          <w:numId w:val="9"/>
        </w:numPr>
      </w:pPr>
      <w:r>
        <w:t>Do cleanup only if you feel it is safe to do so, you are familiar with the material, and you are properly trained and equipped.  Some lab buildings have communal spill cleanup supply closets.</w:t>
      </w:r>
    </w:p>
    <w:p w14:paraId="17A701DE" w14:textId="07C3E2C2" w:rsidR="00DB5E1C" w:rsidRPr="002C0B8C" w:rsidRDefault="0006230D" w:rsidP="0006230D">
      <w:r>
        <w:rPr>
          <w:color w:val="0072C6" w:themeColor="accent1"/>
        </w:rPr>
        <w:t>Release to the environment (air, water, soil):</w:t>
      </w:r>
    </w:p>
    <w:p w14:paraId="0031519A" w14:textId="22031B43" w:rsidR="0006230D" w:rsidRDefault="002C0B8C" w:rsidP="00AA41CD">
      <w:pPr>
        <w:pStyle w:val="ListParagraph"/>
        <w:numPr>
          <w:ilvl w:val="0"/>
          <w:numId w:val="10"/>
        </w:numPr>
      </w:pPr>
      <w:r>
        <w:t xml:space="preserve">If safe to do so, stop the release.  Notify </w:t>
      </w:r>
      <w:r w:rsidR="003177E4">
        <w:t>the Fire</w:t>
      </w:r>
      <w:r>
        <w:t xml:space="preserve"> Department at 911.</w:t>
      </w:r>
    </w:p>
    <w:p w14:paraId="6057A7C0" w14:textId="71C70418" w:rsidR="002C0B8C" w:rsidRDefault="002C0B8C" w:rsidP="002C0B8C">
      <w:pPr>
        <w:rPr>
          <w:b/>
          <w:bCs/>
        </w:rPr>
      </w:pPr>
      <w:r>
        <w:rPr>
          <w:b/>
          <w:bCs/>
        </w:rPr>
        <w:t>Civil Disturbance or Demonstration</w:t>
      </w:r>
    </w:p>
    <w:p w14:paraId="237F6832" w14:textId="4473318F" w:rsidR="002C0B8C" w:rsidRDefault="00215E11" w:rsidP="00AA41CD">
      <w:pPr>
        <w:pStyle w:val="ListParagraph"/>
        <w:numPr>
          <w:ilvl w:val="0"/>
          <w:numId w:val="10"/>
        </w:numPr>
      </w:pPr>
      <w:r>
        <w:t xml:space="preserve">Most campus demonstrations will be </w:t>
      </w:r>
      <w:r w:rsidR="001C1ED6">
        <w:t>peaceful,</w:t>
      </w:r>
      <w:r>
        <w:t xml:space="preserve"> and business should continue as usual.</w:t>
      </w:r>
    </w:p>
    <w:p w14:paraId="486BF5A6" w14:textId="50010F58" w:rsidR="00215E11" w:rsidRDefault="002F1A6A" w:rsidP="00AA41CD">
      <w:pPr>
        <w:pStyle w:val="ListParagraph"/>
        <w:numPr>
          <w:ilvl w:val="0"/>
          <w:numId w:val="10"/>
        </w:numPr>
      </w:pPr>
      <w:r>
        <w:lastRenderedPageBreak/>
        <w:t>Avoid provoking or obstructing the demonstrators.</w:t>
      </w:r>
    </w:p>
    <w:p w14:paraId="1C8B2F9B" w14:textId="313BA387" w:rsidR="002F1A6A" w:rsidRDefault="002F1A6A" w:rsidP="00AA41CD">
      <w:pPr>
        <w:pStyle w:val="ListParagraph"/>
        <w:numPr>
          <w:ilvl w:val="0"/>
          <w:numId w:val="10"/>
        </w:numPr>
      </w:pPr>
      <w:r>
        <w:t>Avoid the area of disturbance.</w:t>
      </w:r>
    </w:p>
    <w:p w14:paraId="28163426" w14:textId="3744D905" w:rsidR="002F1A6A" w:rsidRDefault="001E54E3" w:rsidP="00AA41CD">
      <w:pPr>
        <w:pStyle w:val="ListParagraph"/>
        <w:numPr>
          <w:ilvl w:val="0"/>
          <w:numId w:val="10"/>
        </w:numPr>
      </w:pPr>
      <w:r>
        <w:t>If a class or lecture is disrupte</w:t>
      </w:r>
      <w:r w:rsidR="00B47E78">
        <w:t>d, the offending person(s) should be requested to leave.  If they refuse, call Police at 911.</w:t>
      </w:r>
    </w:p>
    <w:p w14:paraId="14D08C0B" w14:textId="5F20E9A6" w:rsidR="00B47E78" w:rsidRDefault="00B47E78" w:rsidP="00AA41CD">
      <w:pPr>
        <w:pStyle w:val="ListParagraph"/>
        <w:numPr>
          <w:ilvl w:val="0"/>
          <w:numId w:val="10"/>
        </w:numPr>
      </w:pPr>
      <w:r>
        <w:t>Continue with your normal routine.  Stay away from doors or windows if the disturbance is outside.</w:t>
      </w:r>
    </w:p>
    <w:p w14:paraId="65D45963" w14:textId="37790FE9" w:rsidR="00B47E78" w:rsidRDefault="00401BDE" w:rsidP="00B47E78">
      <w:pPr>
        <w:rPr>
          <w:b/>
          <w:bCs/>
        </w:rPr>
      </w:pPr>
      <w:r>
        <w:rPr>
          <w:b/>
          <w:bCs/>
        </w:rPr>
        <w:t>Crime-in Progress/Violence</w:t>
      </w:r>
    </w:p>
    <w:p w14:paraId="30D7028D" w14:textId="3491F293" w:rsidR="00401BDE" w:rsidRDefault="00401BDE" w:rsidP="00AA41CD">
      <w:pPr>
        <w:pStyle w:val="ListParagraph"/>
        <w:numPr>
          <w:ilvl w:val="0"/>
          <w:numId w:val="11"/>
        </w:numPr>
      </w:pPr>
      <w:r>
        <w:t>Do not put yourself at risk.</w:t>
      </w:r>
    </w:p>
    <w:p w14:paraId="3494A74C" w14:textId="27FB0A19" w:rsidR="00401BDE" w:rsidRDefault="00401BDE" w:rsidP="00AA41CD">
      <w:pPr>
        <w:pStyle w:val="ListParagraph"/>
        <w:numPr>
          <w:ilvl w:val="0"/>
          <w:numId w:val="11"/>
        </w:numPr>
      </w:pPr>
      <w:r>
        <w:t>Do not interfere with persons committing the crime or creating</w:t>
      </w:r>
      <w:r w:rsidR="006C705E">
        <w:t xml:space="preserve"> the disturbance.</w:t>
      </w:r>
    </w:p>
    <w:p w14:paraId="168689F2" w14:textId="5B8C2072" w:rsidR="006C705E" w:rsidRDefault="006C705E" w:rsidP="00AA41CD">
      <w:pPr>
        <w:pStyle w:val="ListParagraph"/>
        <w:numPr>
          <w:ilvl w:val="0"/>
          <w:numId w:val="11"/>
        </w:numPr>
      </w:pPr>
      <w:r>
        <w:t xml:space="preserve">If you are the victim of, are involved in, or witness any </w:t>
      </w:r>
      <w:r w:rsidR="00F937E8">
        <w:t>on-campus violation of the law</w:t>
      </w:r>
      <w:r w:rsidR="00DA1E4D">
        <w:t xml:space="preserve"> such as assault, robbery, theft, or overt sexual behavior, call Police at 911 immediately with the following information:</w:t>
      </w:r>
    </w:p>
    <w:p w14:paraId="1DD5C29A" w14:textId="580E6722" w:rsidR="00DA1E4D" w:rsidRDefault="00F54A6E" w:rsidP="00AA41CD">
      <w:pPr>
        <w:pStyle w:val="ListParagraph"/>
        <w:numPr>
          <w:ilvl w:val="1"/>
          <w:numId w:val="11"/>
        </w:numPr>
      </w:pPr>
      <w:r>
        <w:t>Nature of incident</w:t>
      </w:r>
    </w:p>
    <w:p w14:paraId="3AA23E2B" w14:textId="492F7E9E" w:rsidR="00F54A6E" w:rsidRDefault="00F54A6E" w:rsidP="00AA41CD">
      <w:pPr>
        <w:pStyle w:val="ListParagraph"/>
        <w:numPr>
          <w:ilvl w:val="1"/>
          <w:numId w:val="11"/>
        </w:numPr>
      </w:pPr>
      <w:r>
        <w:t>Location of incident</w:t>
      </w:r>
    </w:p>
    <w:p w14:paraId="6E838E7F" w14:textId="769E164F" w:rsidR="00F54A6E" w:rsidRDefault="00F54A6E" w:rsidP="00AA41CD">
      <w:pPr>
        <w:pStyle w:val="ListParagraph"/>
        <w:numPr>
          <w:ilvl w:val="1"/>
          <w:numId w:val="11"/>
        </w:numPr>
      </w:pPr>
      <w:r>
        <w:t xml:space="preserve">Description of person(s) </w:t>
      </w:r>
      <w:r w:rsidR="003177E4">
        <w:t>involved.</w:t>
      </w:r>
    </w:p>
    <w:p w14:paraId="3741C161" w14:textId="1920F28F" w:rsidR="00F54A6E" w:rsidRDefault="00F54A6E" w:rsidP="00AA41CD">
      <w:pPr>
        <w:pStyle w:val="ListParagraph"/>
        <w:numPr>
          <w:ilvl w:val="1"/>
          <w:numId w:val="11"/>
        </w:numPr>
      </w:pPr>
      <w:r>
        <w:t xml:space="preserve">Location of person(s) </w:t>
      </w:r>
      <w:r w:rsidR="003177E4">
        <w:t>involved.</w:t>
      </w:r>
    </w:p>
    <w:p w14:paraId="190C5F1A" w14:textId="2DC9561C" w:rsidR="00370315" w:rsidRDefault="00370315" w:rsidP="00AA41CD">
      <w:pPr>
        <w:pStyle w:val="ListParagraph"/>
        <w:numPr>
          <w:ilvl w:val="1"/>
          <w:numId w:val="11"/>
        </w:numPr>
      </w:pPr>
      <w:r>
        <w:t>Your name, location, department, and phone number</w:t>
      </w:r>
    </w:p>
    <w:p w14:paraId="3582D5D6" w14:textId="31772B92" w:rsidR="00370315" w:rsidRDefault="00370315" w:rsidP="00AA41CD">
      <w:pPr>
        <w:pStyle w:val="ListParagraph"/>
        <w:numPr>
          <w:ilvl w:val="1"/>
          <w:numId w:val="11"/>
        </w:numPr>
      </w:pPr>
      <w:r>
        <w:t>If personal safety allows, try to get a good description of the criminal.  Note height, weight, sex, color, approximate age, clothing, method and direction of travel, and name (if known)</w:t>
      </w:r>
      <w:r w:rsidR="009F36BA">
        <w:t>.</w:t>
      </w:r>
    </w:p>
    <w:p w14:paraId="675969A9" w14:textId="54A252CA" w:rsidR="000210E2" w:rsidRDefault="009F36BA" w:rsidP="00504170">
      <w:pPr>
        <w:pStyle w:val="ListParagraph"/>
        <w:numPr>
          <w:ilvl w:val="1"/>
          <w:numId w:val="11"/>
        </w:numPr>
      </w:pPr>
      <w:r>
        <w:t>Remain where you are until a Police Officer arrives.</w:t>
      </w:r>
    </w:p>
    <w:p w14:paraId="7A449338" w14:textId="6C3770F4" w:rsidR="00F87441" w:rsidRDefault="00C637A7" w:rsidP="00F87441">
      <w:pPr>
        <w:rPr>
          <w:b/>
          <w:bCs/>
        </w:rPr>
      </w:pPr>
      <w:r>
        <w:rPr>
          <w:b/>
          <w:bCs/>
        </w:rPr>
        <w:t>Exposure to infectious Materials</w:t>
      </w:r>
    </w:p>
    <w:p w14:paraId="6E2AE72E" w14:textId="6A7E6C4E" w:rsidR="00C637A7" w:rsidRPr="002F5477" w:rsidRDefault="00C637A7" w:rsidP="002F5477">
      <w:r w:rsidRPr="002F5477">
        <w:t xml:space="preserve">If you are exposed to blood or other </w:t>
      </w:r>
      <w:r w:rsidR="002F5477" w:rsidRPr="002F5477">
        <w:t>potentially infectious materials:</w:t>
      </w:r>
    </w:p>
    <w:p w14:paraId="21F955AC" w14:textId="69B9E94F" w:rsidR="002F5477" w:rsidRDefault="00421B8F" w:rsidP="00AA41CD">
      <w:pPr>
        <w:pStyle w:val="ListParagraph"/>
        <w:numPr>
          <w:ilvl w:val="0"/>
          <w:numId w:val="15"/>
        </w:numPr>
      </w:pPr>
      <w:r>
        <w:t>Immediately wash area(s) with soap and water and use an emergency eyewash or shower for 15 minutes.</w:t>
      </w:r>
    </w:p>
    <w:p w14:paraId="3983D1CE" w14:textId="508A7353" w:rsidR="00421B8F" w:rsidRDefault="00421B8F" w:rsidP="00AA41CD">
      <w:pPr>
        <w:pStyle w:val="ListParagraph"/>
        <w:numPr>
          <w:ilvl w:val="0"/>
          <w:numId w:val="15"/>
        </w:numPr>
      </w:pPr>
      <w:r>
        <w:t>Obtain medical help.</w:t>
      </w:r>
    </w:p>
    <w:p w14:paraId="76D91AAA" w14:textId="6D5DD43A" w:rsidR="00421B8F" w:rsidRDefault="00421B8F" w:rsidP="00AA41CD">
      <w:pPr>
        <w:pStyle w:val="ListParagraph"/>
        <w:numPr>
          <w:ilvl w:val="0"/>
          <w:numId w:val="15"/>
        </w:numPr>
      </w:pPr>
      <w:r>
        <w:lastRenderedPageBreak/>
        <w:t>Notify</w:t>
      </w:r>
      <w:r w:rsidR="000B1F89">
        <w:t xml:space="preserve"> your supervisor.</w:t>
      </w:r>
    </w:p>
    <w:p w14:paraId="77C7AEB2" w14:textId="2774E86B" w:rsidR="000B1F89" w:rsidRDefault="000B1F89" w:rsidP="00AA41CD">
      <w:pPr>
        <w:pStyle w:val="ListParagraph"/>
        <w:numPr>
          <w:ilvl w:val="0"/>
          <w:numId w:val="15"/>
        </w:numPr>
      </w:pPr>
      <w:r>
        <w:t>Notify the Fire Department.</w:t>
      </w:r>
    </w:p>
    <w:p w14:paraId="1C7BA560" w14:textId="259FD7A2" w:rsidR="000B1F89" w:rsidRDefault="000B1F89" w:rsidP="00AA41CD">
      <w:pPr>
        <w:pStyle w:val="ListParagraph"/>
        <w:numPr>
          <w:ilvl w:val="0"/>
          <w:numId w:val="15"/>
        </w:numPr>
      </w:pPr>
      <w:r>
        <w:t>Document the incident by filling out an Incident Report Form.</w:t>
      </w:r>
    </w:p>
    <w:p w14:paraId="6DA7BD9A" w14:textId="0044718B" w:rsidR="000B1F89" w:rsidRDefault="00690333" w:rsidP="00690333">
      <w:pPr>
        <w:rPr>
          <w:b/>
          <w:bCs/>
        </w:rPr>
      </w:pPr>
      <w:r>
        <w:rPr>
          <w:b/>
          <w:bCs/>
        </w:rPr>
        <w:t>Fire</w:t>
      </w:r>
    </w:p>
    <w:p w14:paraId="7E17F4AB" w14:textId="781905AB" w:rsidR="00690333" w:rsidRDefault="00690333" w:rsidP="00AA41CD">
      <w:pPr>
        <w:pStyle w:val="ListParagraph"/>
        <w:numPr>
          <w:ilvl w:val="0"/>
          <w:numId w:val="16"/>
        </w:numPr>
      </w:pPr>
      <w:r>
        <w:t>Know the location of fire extinguishers in your area and know how to use them.  Fire extinguisher training is available for</w:t>
      </w:r>
      <w:r w:rsidR="00EF02FF">
        <w:t xml:space="preserve"> departments by request at (701) 421-</w:t>
      </w:r>
      <w:r w:rsidR="006707FA">
        <w:t>0023</w:t>
      </w:r>
      <w:r w:rsidR="00EF02FF">
        <w:t>.</w:t>
      </w:r>
    </w:p>
    <w:p w14:paraId="5DB20FA1" w14:textId="6E3F4C18" w:rsidR="00EF02FF" w:rsidRDefault="00EF02FF" w:rsidP="00AA41CD">
      <w:pPr>
        <w:pStyle w:val="ListParagraph"/>
        <w:numPr>
          <w:ilvl w:val="0"/>
          <w:numId w:val="16"/>
        </w:numPr>
      </w:pPr>
      <w:r>
        <w:t>For a mino</w:t>
      </w:r>
      <w:r w:rsidR="00F82EFC">
        <w:t>r fire that appears to be controllable, activate the building fire alarm</w:t>
      </w:r>
      <w:r w:rsidR="000A62B3">
        <w:t xml:space="preserve"> system at the nearest manual fire alarm pull box.  Immediately call 911, then use the appropriate fire e</w:t>
      </w:r>
      <w:r w:rsidR="007951E3">
        <w:t>xtinguisher to control the flames.  Get help if necessary.</w:t>
      </w:r>
    </w:p>
    <w:p w14:paraId="63B60900" w14:textId="54A0880A" w:rsidR="007951E3" w:rsidRDefault="007951E3" w:rsidP="00AA41CD">
      <w:pPr>
        <w:pStyle w:val="ListParagraph"/>
        <w:numPr>
          <w:ilvl w:val="0"/>
          <w:numId w:val="16"/>
        </w:numPr>
      </w:pPr>
      <w:r>
        <w:t>For a larger fire that is not easily controllable, close all doors to confine the fire and reduce oxygen.  Activate the building fire alarm system</w:t>
      </w:r>
      <w:r w:rsidR="00752E15">
        <w:t xml:space="preserve"> at the nearest manual fire alarm pull box, then immediately call 911.  Give all </w:t>
      </w:r>
      <w:r w:rsidR="000F6D2F">
        <w:t>the information</w:t>
      </w:r>
      <w:r w:rsidR="00752E15">
        <w:t xml:space="preserve"> requested (your name, exact location, size and progress of the fire, etc.).</w:t>
      </w:r>
    </w:p>
    <w:p w14:paraId="07090282" w14:textId="4177141A" w:rsidR="00752E15" w:rsidRDefault="00752E15" w:rsidP="00AA41CD">
      <w:pPr>
        <w:pStyle w:val="ListParagraph"/>
        <w:numPr>
          <w:ilvl w:val="0"/>
          <w:numId w:val="16"/>
        </w:numPr>
      </w:pPr>
      <w:r>
        <w:t>Notify your supervisor or instructor, then evacuate the building by quickly</w:t>
      </w:r>
      <w:r w:rsidR="00376688">
        <w:t xml:space="preserve"> walking to the nearest exit, alerting people as you go, and assisting those with disabilities, as necessary.  Do not use elevators for evacuation.</w:t>
      </w:r>
    </w:p>
    <w:p w14:paraId="2A0BCAB5" w14:textId="21A7C8FF" w:rsidR="00376688" w:rsidRDefault="00842DD1" w:rsidP="00AA41CD">
      <w:pPr>
        <w:pStyle w:val="ListParagraph"/>
        <w:numPr>
          <w:ilvl w:val="0"/>
          <w:numId w:val="16"/>
        </w:numPr>
      </w:pPr>
      <w:r>
        <w:t>Once outside</w:t>
      </w:r>
      <w:r w:rsidR="00CF43CC">
        <w:t>, move</w:t>
      </w:r>
      <w:r w:rsidR="001A48D0">
        <w:t xml:space="preserve"> to a clear area at least 50 feet away from the affected building.  Keep the walkways and vehicle access clear for emergency vehicles.  Utilize the designated building Emergency Assembly Point if it is free of smoke and wait for instructions.</w:t>
      </w:r>
    </w:p>
    <w:p w14:paraId="0F1D6F4C" w14:textId="43CDCE82" w:rsidR="001A48D0" w:rsidRDefault="004D5423" w:rsidP="00AA41CD">
      <w:pPr>
        <w:pStyle w:val="ListParagraph"/>
        <w:numPr>
          <w:ilvl w:val="0"/>
          <w:numId w:val="16"/>
        </w:numPr>
      </w:pPr>
      <w:r>
        <w:t>DO NO RETURN TO THE AFFECTED BUILDING UNTIL TOLD IT IS SAFE BY A CAMPUS FIRE OFFICIAL.</w:t>
      </w:r>
    </w:p>
    <w:p w14:paraId="1FAC18C9" w14:textId="4A209518" w:rsidR="004D5423" w:rsidRDefault="006352AD" w:rsidP="00AA41CD">
      <w:pPr>
        <w:pStyle w:val="ListParagraph"/>
        <w:numPr>
          <w:ilvl w:val="0"/>
          <w:numId w:val="16"/>
        </w:numPr>
      </w:pPr>
      <w:r>
        <w:t xml:space="preserve">Report all fires, regardless of </w:t>
      </w:r>
      <w:r w:rsidR="000F6D2F">
        <w:t>size,</w:t>
      </w:r>
      <w:r>
        <w:t xml:space="preserve"> </w:t>
      </w:r>
      <w:r w:rsidR="004D2AEB">
        <w:t>t</w:t>
      </w:r>
      <w:r>
        <w:t>o NHSC Maintenance at (701) 421-</w:t>
      </w:r>
      <w:r w:rsidR="006707FA">
        <w:t>0023</w:t>
      </w:r>
      <w:r w:rsidR="002C75D4">
        <w:t>.</w:t>
      </w:r>
    </w:p>
    <w:p w14:paraId="31ADEF46" w14:textId="5DA5086F" w:rsidR="002C75D4" w:rsidRDefault="002C75D4" w:rsidP="00AA41CD">
      <w:pPr>
        <w:pStyle w:val="ListParagraph"/>
        <w:numPr>
          <w:ilvl w:val="0"/>
          <w:numId w:val="16"/>
        </w:numPr>
      </w:pPr>
      <w:r>
        <w:t>Report any fire extinguisher that has been discharged, has lost pressure, or is out-of-date to Maintenance Management at (701)</w:t>
      </w:r>
      <w:r w:rsidR="005154C9">
        <w:t xml:space="preserve"> 421-</w:t>
      </w:r>
      <w:r w:rsidR="006707FA">
        <w:t>0023</w:t>
      </w:r>
      <w:r w:rsidR="005154C9">
        <w:t>.</w:t>
      </w:r>
    </w:p>
    <w:p w14:paraId="7D969F75" w14:textId="233E2F1C" w:rsidR="005154C9" w:rsidRDefault="000400B2" w:rsidP="005154C9">
      <w:pPr>
        <w:ind w:left="360"/>
        <w:rPr>
          <w:b/>
          <w:bCs/>
        </w:rPr>
      </w:pPr>
      <w:r>
        <w:rPr>
          <w:b/>
          <w:bCs/>
        </w:rPr>
        <w:t>Active shooter</w:t>
      </w:r>
    </w:p>
    <w:p w14:paraId="29F6D23D" w14:textId="26EF3A59" w:rsidR="00367802" w:rsidRDefault="00367802" w:rsidP="00AA41CD">
      <w:pPr>
        <w:pStyle w:val="ListParagraph"/>
        <w:numPr>
          <w:ilvl w:val="0"/>
          <w:numId w:val="17"/>
        </w:numPr>
      </w:pPr>
      <w:r>
        <w:lastRenderedPageBreak/>
        <w:t xml:space="preserve">If you are directly involved in </w:t>
      </w:r>
      <w:r w:rsidR="004A5062">
        <w:t>an</w:t>
      </w:r>
      <w:r>
        <w:t xml:space="preserve"> </w:t>
      </w:r>
      <w:r w:rsidR="000400B2">
        <w:t>active shooter</w:t>
      </w:r>
      <w:r>
        <w:t xml:space="preserve"> situation, focus on your own survival, be alert, try to figure out what is happening, and decide your best course of action.  Can you safely escape?  If you can, GET OUT.  Trust your instincts and leave quickly.</w:t>
      </w:r>
    </w:p>
    <w:p w14:paraId="06EBCA5C" w14:textId="21B19C38" w:rsidR="005501B5" w:rsidRDefault="005501B5" w:rsidP="00AA41CD">
      <w:pPr>
        <w:pStyle w:val="ListParagraph"/>
        <w:numPr>
          <w:ilvl w:val="0"/>
          <w:numId w:val="17"/>
        </w:numPr>
      </w:pPr>
      <w:r>
        <w:t>If escape is not immediately possible, your second option is to HIDE OUT.</w:t>
      </w:r>
      <w:r w:rsidR="00746414">
        <w:t xml:space="preserve">  If possible, take actions to KEEP OUT the assailant.  Find a room that locks, barricade the door, and be silent.  Another option is to TAKE COVER.  Get behind something, or several things, </w:t>
      </w:r>
      <w:r w:rsidR="00B057F1">
        <w:t>which</w:t>
      </w:r>
      <w:r w:rsidR="00746414">
        <w:t xml:space="preserve"> would help stop or deflect a bullet.</w:t>
      </w:r>
    </w:p>
    <w:p w14:paraId="4B94E3B6" w14:textId="0DB3ABE2" w:rsidR="00746414" w:rsidRDefault="00746414" w:rsidP="00AA41CD">
      <w:pPr>
        <w:pStyle w:val="ListParagraph"/>
        <w:numPr>
          <w:ilvl w:val="0"/>
          <w:numId w:val="17"/>
        </w:numPr>
      </w:pPr>
      <w:r>
        <w:t xml:space="preserve">If you cannot get out, hide out, or take cover, and if you determine that you are in direct peril, </w:t>
      </w:r>
      <w:r w:rsidR="00B057F1">
        <w:t>then</w:t>
      </w:r>
      <w:r>
        <w:t xml:space="preserve"> you need to take steps to protect yourself.  If there is a group of you, make a plan, spread out, and act as a team.</w:t>
      </w:r>
    </w:p>
    <w:p w14:paraId="1285FAF0" w14:textId="429FAD51" w:rsidR="00746414" w:rsidRDefault="00746414" w:rsidP="00AA41CD">
      <w:pPr>
        <w:pStyle w:val="ListParagraph"/>
        <w:numPr>
          <w:ilvl w:val="0"/>
          <w:numId w:val="17"/>
        </w:numPr>
      </w:pPr>
      <w:r>
        <w:t>When it is safe to do so, call 911 and tell the Police who you are, where you are calling from, and what the problem/danger is.  Give a brief description of the suspect</w:t>
      </w:r>
      <w:r w:rsidR="00FC495E">
        <w:t>(s) and, if known, their last direction of travel or place last seen.</w:t>
      </w:r>
    </w:p>
    <w:p w14:paraId="6E85D83A" w14:textId="58E5CE3C" w:rsidR="00FC495E" w:rsidRDefault="00FC495E" w:rsidP="00AA41CD">
      <w:pPr>
        <w:pStyle w:val="ListParagraph"/>
        <w:numPr>
          <w:ilvl w:val="0"/>
          <w:numId w:val="17"/>
        </w:numPr>
      </w:pPr>
      <w:r>
        <w:t xml:space="preserve">When the Police arrive, remain calm, show them your hands, and follow their directions.  For specific </w:t>
      </w:r>
      <w:r w:rsidR="000400B2">
        <w:t>Active shooter</w:t>
      </w:r>
      <w:r>
        <w:t xml:space="preserve"> training, please contact the Campus Safety Office at (701) 627-8052.</w:t>
      </w:r>
    </w:p>
    <w:p w14:paraId="12F3D87F" w14:textId="2F7EE6CF" w:rsidR="0044037D" w:rsidRDefault="0044037D" w:rsidP="00AA41CD">
      <w:pPr>
        <w:pStyle w:val="ListParagraph"/>
        <w:numPr>
          <w:ilvl w:val="0"/>
          <w:numId w:val="17"/>
        </w:numPr>
      </w:pPr>
      <w:r>
        <w:t>If you have a concern about someone on campus whose behavior is potentially violent, contact a member of the Threat</w:t>
      </w:r>
      <w:r w:rsidR="00AF01B2">
        <w:t xml:space="preserve"> Management Team.</w:t>
      </w:r>
    </w:p>
    <w:p w14:paraId="0E4D0F8E" w14:textId="1D733742" w:rsidR="00AF01B2" w:rsidRDefault="00AF01B2" w:rsidP="00AF01B2">
      <w:pPr>
        <w:rPr>
          <w:b/>
          <w:bCs/>
        </w:rPr>
      </w:pPr>
      <w:r>
        <w:rPr>
          <w:b/>
          <w:bCs/>
        </w:rPr>
        <w:t>Medical Emergency</w:t>
      </w:r>
    </w:p>
    <w:p w14:paraId="09A24635" w14:textId="7EEFE4F6" w:rsidR="00AF01B2" w:rsidRPr="00B66E4B" w:rsidRDefault="00384527" w:rsidP="00384527">
      <w:pPr>
        <w:pStyle w:val="ListParagraph"/>
        <w:ind w:left="0"/>
      </w:pPr>
      <w:r>
        <w:rPr>
          <w:color w:val="0072C6" w:themeColor="accent1"/>
        </w:rPr>
        <w:t>All personnel:</w:t>
      </w:r>
    </w:p>
    <w:p w14:paraId="18527F18" w14:textId="151142AA" w:rsidR="00B66E4B" w:rsidRDefault="00136677" w:rsidP="00AA41CD">
      <w:pPr>
        <w:pStyle w:val="ListParagraph"/>
        <w:numPr>
          <w:ilvl w:val="0"/>
          <w:numId w:val="18"/>
        </w:numPr>
      </w:pPr>
      <w:r>
        <w:t>Call 911 if the condition requires immediate medical attention.</w:t>
      </w:r>
    </w:p>
    <w:p w14:paraId="2D21C9D8" w14:textId="19A14EA9" w:rsidR="00136677" w:rsidRDefault="00136677" w:rsidP="00AA41CD">
      <w:pPr>
        <w:pStyle w:val="ListParagraph"/>
        <w:numPr>
          <w:ilvl w:val="0"/>
          <w:numId w:val="18"/>
        </w:numPr>
      </w:pPr>
      <w:r>
        <w:t>If poisoning is suspected, contact the Poison Control Center at 1-800-222-1222.</w:t>
      </w:r>
    </w:p>
    <w:p w14:paraId="1A482490" w14:textId="0C69C7F9" w:rsidR="008E1D39" w:rsidRDefault="008E1D39" w:rsidP="008E1D39">
      <w:pPr>
        <w:rPr>
          <w:color w:val="0072C6" w:themeColor="accent1"/>
        </w:rPr>
      </w:pPr>
      <w:r>
        <w:rPr>
          <w:color w:val="0072C6" w:themeColor="accent1"/>
        </w:rPr>
        <w:t>Staff and faculty work-related injuries:</w:t>
      </w:r>
    </w:p>
    <w:p w14:paraId="3C01D340" w14:textId="4CF6EE1F" w:rsidR="008E1D39" w:rsidRDefault="001D3701" w:rsidP="00AA41CD">
      <w:pPr>
        <w:pStyle w:val="ListParagraph"/>
        <w:numPr>
          <w:ilvl w:val="0"/>
          <w:numId w:val="19"/>
        </w:numPr>
      </w:pPr>
      <w:r>
        <w:t>It is important that all work-related injuries be reported immediately.  During regular bu</w:t>
      </w:r>
      <w:r w:rsidR="00BA03FF">
        <w:t>siness hours, contact Workers’ Compensation</w:t>
      </w:r>
      <w:r w:rsidR="004E2735">
        <w:t xml:space="preserve"> to report injuries and to obtain an authorization for initial medical treatment.  If a work-related injury occurs outside of </w:t>
      </w:r>
      <w:r w:rsidR="004D2AEB">
        <w:lastRenderedPageBreak/>
        <w:t>normal</w:t>
      </w:r>
      <w:r w:rsidR="004E2735">
        <w:t xml:space="preserve"> work hours, contact</w:t>
      </w:r>
      <w:r w:rsidR="004B6175">
        <w:t xml:space="preserve"> the Workers’ Compensation office within one business day.</w:t>
      </w:r>
    </w:p>
    <w:p w14:paraId="152CE1F6" w14:textId="296CC5E9" w:rsidR="004B6175" w:rsidRDefault="004D088E" w:rsidP="00AA41CD">
      <w:pPr>
        <w:pStyle w:val="ListParagraph"/>
        <w:numPr>
          <w:ilvl w:val="0"/>
          <w:numId w:val="19"/>
        </w:numPr>
      </w:pPr>
      <w:r>
        <w:t>If an employee is hospitalized for 24 hours or more (other than for observation) or has an injury that results in a partial or full loss of limb (amputation)</w:t>
      </w:r>
      <w:r w:rsidR="00821455">
        <w:t xml:space="preserve"> or loss of life, contact Campus Services at (701) 627-8028 or Campus Safety Officer at (701)</w:t>
      </w:r>
      <w:r w:rsidR="00C464F1">
        <w:t xml:space="preserve"> 627-8052 immediately.  The campus must report these injuries to OSHA within 8 hours of the event.</w:t>
      </w:r>
    </w:p>
    <w:p w14:paraId="57392375" w14:textId="3CF523E7" w:rsidR="00137E43" w:rsidRDefault="00137E43" w:rsidP="00137E43">
      <w:pPr>
        <w:rPr>
          <w:color w:val="0072C6" w:themeColor="accent1"/>
        </w:rPr>
      </w:pPr>
      <w:r>
        <w:rPr>
          <w:color w:val="0072C6" w:themeColor="accent1"/>
        </w:rPr>
        <w:t>Student injuries:</w:t>
      </w:r>
    </w:p>
    <w:p w14:paraId="7922B403" w14:textId="52FD4709" w:rsidR="00137E43" w:rsidRDefault="00137E43" w:rsidP="00AA41CD">
      <w:pPr>
        <w:pStyle w:val="ListParagraph"/>
        <w:numPr>
          <w:ilvl w:val="0"/>
          <w:numId w:val="20"/>
        </w:numPr>
      </w:pPr>
      <w:r>
        <w:t xml:space="preserve">Students (not staff/faculty) can be </w:t>
      </w:r>
      <w:r w:rsidR="009458C0">
        <w:t>assisted by</w:t>
      </w:r>
      <w:r>
        <w:t xml:space="preserve"> Campus </w:t>
      </w:r>
      <w:r w:rsidR="002B607C">
        <w:t>Safety</w:t>
      </w:r>
      <w:r>
        <w:t xml:space="preserve"> at (701) </w:t>
      </w:r>
      <w:r w:rsidR="002B607C">
        <w:t>421-0023</w:t>
      </w:r>
      <w:r>
        <w:t xml:space="preserve">.  If the victim needs to be transported to a hospital emergency room, </w:t>
      </w:r>
      <w:r w:rsidR="00DB27E4">
        <w:t>the ambulance will be called.</w:t>
      </w:r>
    </w:p>
    <w:p w14:paraId="3E32B66C" w14:textId="3196A085" w:rsidR="00137E43" w:rsidRDefault="00431FF7" w:rsidP="00137E43">
      <w:pPr>
        <w:rPr>
          <w:b/>
          <w:bCs/>
        </w:rPr>
      </w:pPr>
      <w:r>
        <w:rPr>
          <w:b/>
          <w:bCs/>
        </w:rPr>
        <w:t>Power Outages in Labs</w:t>
      </w:r>
    </w:p>
    <w:p w14:paraId="52776D19" w14:textId="6D8819AD" w:rsidR="00431FF7" w:rsidRDefault="00431FF7" w:rsidP="00137E43">
      <w:r>
        <w:rPr>
          <w:color w:val="0072C6" w:themeColor="accent1"/>
        </w:rPr>
        <w:t>Prepare for a power outage:</w:t>
      </w:r>
    </w:p>
    <w:p w14:paraId="5E17A1EF" w14:textId="54A75F01" w:rsidR="00E81C14" w:rsidRDefault="00E81C14" w:rsidP="00AA41CD">
      <w:pPr>
        <w:pStyle w:val="ListParagraph"/>
        <w:numPr>
          <w:ilvl w:val="0"/>
          <w:numId w:val="20"/>
        </w:numPr>
      </w:pPr>
      <w:r>
        <w:t>Be sure the contact information on your lab door placard is up to date.  Ideally, contacts</w:t>
      </w:r>
      <w:r w:rsidR="00AB3AEE">
        <w:t xml:space="preserve"> should be knowledgeable about all of the lab’s sensitive operations.</w:t>
      </w:r>
    </w:p>
    <w:p w14:paraId="4A8A6353" w14:textId="6FE31358" w:rsidR="00AB3AEE" w:rsidRDefault="00AB3AEE" w:rsidP="00AA41CD">
      <w:pPr>
        <w:pStyle w:val="ListParagraph"/>
        <w:numPr>
          <w:ilvl w:val="0"/>
          <w:numId w:val="20"/>
        </w:numPr>
      </w:pPr>
      <w:r>
        <w:t>Put essential equipment on emergency power circuits, if available.</w:t>
      </w:r>
    </w:p>
    <w:p w14:paraId="7FEB5D0A" w14:textId="303ED827" w:rsidR="00AB3AEE" w:rsidRDefault="00AB3AEE" w:rsidP="00AA41CD">
      <w:pPr>
        <w:pStyle w:val="ListParagraph"/>
        <w:numPr>
          <w:ilvl w:val="0"/>
          <w:numId w:val="20"/>
        </w:numPr>
      </w:pPr>
      <w:r>
        <w:t>Hazardous processes that operate</w:t>
      </w:r>
      <w:r w:rsidR="00253286">
        <w:t xml:space="preserve"> unattended should be programmed to shut down safely during a power failure and not restart automatically when power returns.</w:t>
      </w:r>
    </w:p>
    <w:p w14:paraId="247852E5" w14:textId="2B5E840B" w:rsidR="00253286" w:rsidRDefault="00253286" w:rsidP="00AA41CD">
      <w:pPr>
        <w:pStyle w:val="ListParagraph"/>
        <w:numPr>
          <w:ilvl w:val="0"/>
          <w:numId w:val="20"/>
        </w:numPr>
      </w:pPr>
      <w:r>
        <w:t xml:space="preserve">Identify an emergency source of dry ice for items that must be kept cold.  Do not use dry ice in small enclosed and occupied </w:t>
      </w:r>
      <w:r w:rsidR="004D2AEB">
        <w:t>areas</w:t>
      </w:r>
      <w:r>
        <w:t xml:space="preserve"> because hazardous concentrations of CO2 can accumulate.  Unopened refrigerators/freezers will maintain temperature for several hours.</w:t>
      </w:r>
    </w:p>
    <w:p w14:paraId="24D1D063" w14:textId="76EDB854" w:rsidR="00213DCD" w:rsidRDefault="00213DCD" w:rsidP="00213DCD">
      <w:r>
        <w:rPr>
          <w:color w:val="0072C6" w:themeColor="accent1"/>
        </w:rPr>
        <w:t xml:space="preserve">During </w:t>
      </w:r>
      <w:r w:rsidR="00EA6781">
        <w:rPr>
          <w:color w:val="0072C6" w:themeColor="accent1"/>
        </w:rPr>
        <w:t>p</w:t>
      </w:r>
      <w:r>
        <w:rPr>
          <w:color w:val="0072C6" w:themeColor="accent1"/>
        </w:rPr>
        <w:t xml:space="preserve">ower </w:t>
      </w:r>
      <w:r w:rsidR="00EA6781">
        <w:rPr>
          <w:color w:val="0072C6" w:themeColor="accent1"/>
        </w:rPr>
        <w:t>o</w:t>
      </w:r>
      <w:r>
        <w:rPr>
          <w:color w:val="0072C6" w:themeColor="accent1"/>
        </w:rPr>
        <w:t>utage</w:t>
      </w:r>
      <w:r w:rsidR="00EA6781">
        <w:rPr>
          <w:color w:val="0072C6" w:themeColor="accent1"/>
        </w:rPr>
        <w:t>:</w:t>
      </w:r>
    </w:p>
    <w:p w14:paraId="187F4958" w14:textId="78DDFDDF" w:rsidR="00EA6781" w:rsidRDefault="00200878" w:rsidP="00AA41CD">
      <w:pPr>
        <w:pStyle w:val="ListParagraph"/>
        <w:numPr>
          <w:ilvl w:val="0"/>
          <w:numId w:val="21"/>
        </w:numPr>
      </w:pPr>
      <w:r>
        <w:lastRenderedPageBreak/>
        <w:t>Shut down experiments that involve hazardous materials or equipment that automatically restart</w:t>
      </w:r>
      <w:r w:rsidR="00B50618">
        <w:t xml:space="preserve"> when power is available.</w:t>
      </w:r>
    </w:p>
    <w:p w14:paraId="6BC61547" w14:textId="416B89B0" w:rsidR="00B50618" w:rsidRDefault="00B50618" w:rsidP="00AA41CD">
      <w:pPr>
        <w:pStyle w:val="ListParagraph"/>
        <w:numPr>
          <w:ilvl w:val="0"/>
          <w:numId w:val="21"/>
        </w:numPr>
      </w:pPr>
      <w:r>
        <w:t>Make sure that experiments are stable.  Cap all chemical containers that are safe to cap, then close fume hood sashes.</w:t>
      </w:r>
    </w:p>
    <w:p w14:paraId="4196BF6F" w14:textId="59C946CB" w:rsidR="00B50618" w:rsidRDefault="00B50618" w:rsidP="00AA41CD">
      <w:pPr>
        <w:pStyle w:val="ListParagraph"/>
        <w:numPr>
          <w:ilvl w:val="0"/>
          <w:numId w:val="21"/>
        </w:numPr>
      </w:pPr>
      <w:r>
        <w:t>Check equipment on emergency power.  In some cases, it may take 20 to 30 seconds for the emergency power to activate after a power failure.</w:t>
      </w:r>
    </w:p>
    <w:p w14:paraId="6F66F86F" w14:textId="6BE37D7C" w:rsidR="008424A8" w:rsidRDefault="008424A8" w:rsidP="00AA41CD">
      <w:pPr>
        <w:pStyle w:val="ListParagraph"/>
        <w:numPr>
          <w:ilvl w:val="0"/>
          <w:numId w:val="21"/>
        </w:numPr>
      </w:pPr>
      <w:r>
        <w:t>Disconnect unattended equipment and turn off unnecessary equipment.</w:t>
      </w:r>
    </w:p>
    <w:p w14:paraId="731F6123" w14:textId="2D8650F2" w:rsidR="00F71FD8" w:rsidRDefault="00D733FB" w:rsidP="00AA41CD">
      <w:pPr>
        <w:pStyle w:val="ListParagraph"/>
        <w:numPr>
          <w:ilvl w:val="0"/>
          <w:numId w:val="21"/>
        </w:numPr>
      </w:pPr>
      <w:r>
        <w:t>When power returns, reset/restart/check equipment.  Check the airflow of your fume hood.  Often, hoods will not automatically restart.</w:t>
      </w:r>
    </w:p>
    <w:p w14:paraId="31BFA0E1" w14:textId="0A14BD6A" w:rsidR="00A51887" w:rsidRDefault="00A51887" w:rsidP="00A51887">
      <w:pPr>
        <w:rPr>
          <w:b/>
          <w:bCs/>
        </w:rPr>
      </w:pPr>
      <w:r>
        <w:rPr>
          <w:b/>
          <w:bCs/>
        </w:rPr>
        <w:t>Severe Weather</w:t>
      </w:r>
    </w:p>
    <w:p w14:paraId="71BD419C" w14:textId="5DC0F5F7" w:rsidR="00A51887" w:rsidRPr="00472A41" w:rsidRDefault="00A51887" w:rsidP="00A51887">
      <w:pPr>
        <w:rPr>
          <w:color w:val="0072C6" w:themeColor="accent1"/>
        </w:rPr>
      </w:pPr>
      <w:r w:rsidRPr="00472A41">
        <w:rPr>
          <w:color w:val="0072C6" w:themeColor="accent1"/>
        </w:rPr>
        <w:t>If at work:</w:t>
      </w:r>
    </w:p>
    <w:p w14:paraId="415522DB" w14:textId="75A8D624" w:rsidR="00A51887" w:rsidRDefault="006B7C2F" w:rsidP="006A64BD">
      <w:pPr>
        <w:pStyle w:val="ListParagraph"/>
        <w:numPr>
          <w:ilvl w:val="0"/>
          <w:numId w:val="22"/>
        </w:numPr>
      </w:pPr>
      <w:r>
        <w:t>Monitor media reports.</w:t>
      </w:r>
    </w:p>
    <w:p w14:paraId="5980FEDF" w14:textId="0EED7ED2" w:rsidR="006B7C2F" w:rsidRDefault="006B7C2F" w:rsidP="006A64BD">
      <w:pPr>
        <w:pStyle w:val="ListParagraph"/>
        <w:numPr>
          <w:ilvl w:val="0"/>
          <w:numId w:val="22"/>
        </w:numPr>
      </w:pPr>
      <w:r>
        <w:t>Check campus email for</w:t>
      </w:r>
      <w:r w:rsidR="00C62753">
        <w:t xml:space="preserve"> pertinent messages.</w:t>
      </w:r>
    </w:p>
    <w:p w14:paraId="1ACD8A17" w14:textId="588D873D" w:rsidR="00C62753" w:rsidRDefault="00C62753" w:rsidP="006A64BD">
      <w:pPr>
        <w:pStyle w:val="ListParagraph"/>
        <w:numPr>
          <w:ilvl w:val="0"/>
          <w:numId w:val="22"/>
        </w:numPr>
      </w:pPr>
      <w:r>
        <w:t xml:space="preserve">Check NHSC home page at </w:t>
      </w:r>
      <w:hyperlink r:id="rId16" w:history="1">
        <w:r w:rsidRPr="001E2363">
          <w:rPr>
            <w:rStyle w:val="Hyperlink"/>
            <w:color w:val="33A8FF" w:themeColor="hyperlink" w:themeTint="A6"/>
          </w:rPr>
          <w:t>www.nhsc.edu</w:t>
        </w:r>
      </w:hyperlink>
      <w:r>
        <w:t>.</w:t>
      </w:r>
    </w:p>
    <w:p w14:paraId="10DFF0A4" w14:textId="1F93FD34" w:rsidR="00C62753" w:rsidRDefault="00472A41" w:rsidP="006A64BD">
      <w:pPr>
        <w:pStyle w:val="ListParagraph"/>
        <w:numPr>
          <w:ilvl w:val="0"/>
          <w:numId w:val="22"/>
        </w:numPr>
      </w:pPr>
      <w:r>
        <w:t>Determine if roads are safe before leaving.</w:t>
      </w:r>
    </w:p>
    <w:p w14:paraId="4E6339FD" w14:textId="48A2957B" w:rsidR="00472A41" w:rsidRDefault="00271CF9" w:rsidP="00472A41">
      <w:pPr>
        <w:rPr>
          <w:color w:val="0072C6" w:themeColor="accent1"/>
        </w:rPr>
      </w:pPr>
      <w:r w:rsidRPr="00271CF9">
        <w:rPr>
          <w:color w:val="0072C6" w:themeColor="accent1"/>
        </w:rPr>
        <w:t>If at home:</w:t>
      </w:r>
    </w:p>
    <w:p w14:paraId="53D636DC" w14:textId="1300459F" w:rsidR="00271CF9" w:rsidRDefault="008A013C" w:rsidP="006A64BD">
      <w:pPr>
        <w:pStyle w:val="ListParagraph"/>
        <w:numPr>
          <w:ilvl w:val="0"/>
          <w:numId w:val="23"/>
        </w:numPr>
      </w:pPr>
      <w:r>
        <w:t>Assess conditions prior to leaving home.</w:t>
      </w:r>
    </w:p>
    <w:p w14:paraId="7EFED1A3" w14:textId="20D33545" w:rsidR="008A013C" w:rsidRDefault="008A013C" w:rsidP="006A64BD">
      <w:pPr>
        <w:pStyle w:val="ListParagraph"/>
        <w:numPr>
          <w:ilvl w:val="0"/>
          <w:numId w:val="23"/>
        </w:numPr>
      </w:pPr>
      <w:r>
        <w:t>Monitor media reports.</w:t>
      </w:r>
    </w:p>
    <w:p w14:paraId="1FC084D7" w14:textId="43FC6186" w:rsidR="008A013C" w:rsidRDefault="008A013C" w:rsidP="006A64BD">
      <w:pPr>
        <w:pStyle w:val="ListParagraph"/>
        <w:numPr>
          <w:ilvl w:val="0"/>
          <w:numId w:val="23"/>
        </w:numPr>
      </w:pPr>
      <w:r>
        <w:t xml:space="preserve">Check NHSC home page at </w:t>
      </w:r>
      <w:hyperlink r:id="rId17" w:history="1">
        <w:r w:rsidR="00B317A2" w:rsidRPr="001E2363">
          <w:rPr>
            <w:rStyle w:val="Hyperlink"/>
            <w:color w:val="33A8FF" w:themeColor="hyperlink" w:themeTint="A6"/>
          </w:rPr>
          <w:t>www.nhsc.edu</w:t>
        </w:r>
      </w:hyperlink>
      <w:r w:rsidR="00B317A2">
        <w:t>.</w:t>
      </w:r>
    </w:p>
    <w:p w14:paraId="18E99789" w14:textId="7F699D52" w:rsidR="00B317A2" w:rsidRDefault="00B317A2" w:rsidP="006A64BD">
      <w:pPr>
        <w:pStyle w:val="ListParagraph"/>
        <w:numPr>
          <w:ilvl w:val="0"/>
          <w:numId w:val="23"/>
        </w:numPr>
      </w:pPr>
      <w:r>
        <w:t>Do not take risks in order to return to campus.</w:t>
      </w:r>
    </w:p>
    <w:p w14:paraId="5836413A" w14:textId="53B4E74D" w:rsidR="00B317A2" w:rsidRDefault="00B317A2" w:rsidP="006A64BD">
      <w:pPr>
        <w:pStyle w:val="ListParagraph"/>
        <w:numPr>
          <w:ilvl w:val="0"/>
          <w:numId w:val="23"/>
        </w:numPr>
      </w:pPr>
      <w:r>
        <w:t>Contact your department for information.</w:t>
      </w:r>
    </w:p>
    <w:p w14:paraId="33316905" w14:textId="5E101451" w:rsidR="00B317A2" w:rsidRDefault="00B317A2" w:rsidP="00B317A2">
      <w:pPr>
        <w:rPr>
          <w:b/>
          <w:bCs/>
        </w:rPr>
      </w:pPr>
      <w:r>
        <w:rPr>
          <w:b/>
          <w:bCs/>
        </w:rPr>
        <w:t>Shelter-In-Place</w:t>
      </w:r>
    </w:p>
    <w:p w14:paraId="4B20AF21" w14:textId="7F2886B4" w:rsidR="00887845" w:rsidRDefault="00887845" w:rsidP="00B317A2">
      <w:r>
        <w:lastRenderedPageBreak/>
        <w:t>Shelter-in-place means to seek immediate shelter inside a building.  This action may be take</w:t>
      </w:r>
      <w:r w:rsidR="00A652D2">
        <w:t>n</w:t>
      </w:r>
      <w:r>
        <w:t xml:space="preserve"> during a release of hazardous materials to the outside air, </w:t>
      </w:r>
      <w:r w:rsidR="006A7466">
        <w:t>or in</w:t>
      </w:r>
      <w:r>
        <w:t xml:space="preserve"> other emergenc</w:t>
      </w:r>
      <w:r w:rsidR="00E216FF">
        <w:t>ies</w:t>
      </w:r>
      <w:r>
        <w:t>.  For shel</w:t>
      </w:r>
      <w:r w:rsidR="00A652D2">
        <w:t>ter-in-place due to violence in progress.</w:t>
      </w:r>
    </w:p>
    <w:p w14:paraId="7210F1A3" w14:textId="78ADDB74" w:rsidR="00A652D2" w:rsidRDefault="00A652D2" w:rsidP="00B317A2">
      <w:r>
        <w:t>If you are ever advised to shelter-in-place</w:t>
      </w:r>
      <w:r w:rsidR="00E61836">
        <w:t>:</w:t>
      </w:r>
    </w:p>
    <w:p w14:paraId="73E5FC7E" w14:textId="05826888" w:rsidR="00E61836" w:rsidRDefault="003922C4" w:rsidP="006A64BD">
      <w:pPr>
        <w:pStyle w:val="ListParagraph"/>
        <w:numPr>
          <w:ilvl w:val="0"/>
          <w:numId w:val="24"/>
        </w:numPr>
      </w:pPr>
      <w:r>
        <w:t>Isolate yourself as much as possible from the external environment.</w:t>
      </w:r>
    </w:p>
    <w:p w14:paraId="0F375438" w14:textId="68460EA6" w:rsidR="003922C4" w:rsidRDefault="003922C4" w:rsidP="006A64BD">
      <w:pPr>
        <w:pStyle w:val="ListParagraph"/>
        <w:numPr>
          <w:ilvl w:val="0"/>
          <w:numId w:val="24"/>
        </w:numPr>
      </w:pPr>
      <w:r>
        <w:t>Shut all doors and windows.</w:t>
      </w:r>
    </w:p>
    <w:p w14:paraId="1BCB00D4" w14:textId="2068E4E0" w:rsidR="003922C4" w:rsidRDefault="003922C4" w:rsidP="006A64BD">
      <w:pPr>
        <w:pStyle w:val="ListParagraph"/>
        <w:numPr>
          <w:ilvl w:val="0"/>
          <w:numId w:val="24"/>
        </w:numPr>
      </w:pPr>
      <w:r>
        <w:t>Seal cracks around doors and windows as best as possible.</w:t>
      </w:r>
    </w:p>
    <w:p w14:paraId="5966E1FC" w14:textId="1986F233" w:rsidR="003922C4" w:rsidRDefault="003922C4" w:rsidP="006A64BD">
      <w:pPr>
        <w:pStyle w:val="ListParagraph"/>
        <w:numPr>
          <w:ilvl w:val="0"/>
          <w:numId w:val="24"/>
        </w:numPr>
      </w:pPr>
      <w:r>
        <w:t>Not</w:t>
      </w:r>
      <w:r w:rsidR="001554E9">
        <w:t xml:space="preserve">ify </w:t>
      </w:r>
      <w:r w:rsidR="00E216FF">
        <w:t>the Police</w:t>
      </w:r>
      <w:r w:rsidR="001554E9">
        <w:t xml:space="preserve"> of your status at 911.</w:t>
      </w:r>
    </w:p>
    <w:p w14:paraId="5CDE5DAA" w14:textId="433BDA1F" w:rsidR="001554E9" w:rsidRDefault="001554E9" w:rsidP="006A64BD">
      <w:pPr>
        <w:pStyle w:val="ListParagraph"/>
        <w:numPr>
          <w:ilvl w:val="0"/>
          <w:numId w:val="24"/>
        </w:numPr>
      </w:pPr>
      <w:r>
        <w:t>Monitor all available communications.</w:t>
      </w:r>
    </w:p>
    <w:p w14:paraId="29B47E6E" w14:textId="172CF921" w:rsidR="001554E9" w:rsidRDefault="001554E9" w:rsidP="001554E9">
      <w:pPr>
        <w:rPr>
          <w:b/>
          <w:bCs/>
        </w:rPr>
      </w:pPr>
      <w:r>
        <w:rPr>
          <w:b/>
          <w:bCs/>
        </w:rPr>
        <w:t>Suspicious Package/Mail</w:t>
      </w:r>
    </w:p>
    <w:p w14:paraId="3D664AAD" w14:textId="72B45F67" w:rsidR="001554E9" w:rsidRDefault="00E61527" w:rsidP="001554E9">
      <w:r>
        <w:t>If you receive or discover a suspicious package, letter, or object, do not touch, tamper with, or move it.</w:t>
      </w:r>
    </w:p>
    <w:p w14:paraId="450B4E3C" w14:textId="4AFDB3D5" w:rsidR="00E61527" w:rsidRDefault="00E61527" w:rsidP="006A64BD">
      <w:pPr>
        <w:pStyle w:val="ListParagraph"/>
        <w:numPr>
          <w:ilvl w:val="0"/>
          <w:numId w:val="25"/>
        </w:numPr>
      </w:pPr>
      <w:r>
        <w:t xml:space="preserve">Report it immediately to </w:t>
      </w:r>
      <w:r w:rsidR="00E216FF">
        <w:t>the Police</w:t>
      </w:r>
      <w:r>
        <w:t xml:space="preserve"> at 911.</w:t>
      </w:r>
    </w:p>
    <w:p w14:paraId="7AAE1995" w14:textId="4286CCAC" w:rsidR="00E61527" w:rsidRDefault="00AF13A5" w:rsidP="00AF13A5">
      <w:r>
        <w:t>Characteristics of suspicious</w:t>
      </w:r>
      <w:r w:rsidR="001945F8">
        <w:t xml:space="preserve"> letters/packages:</w:t>
      </w:r>
    </w:p>
    <w:p w14:paraId="2A7B74FF" w14:textId="6FC32B68" w:rsidR="001945F8" w:rsidRDefault="001945F8" w:rsidP="006A64BD">
      <w:pPr>
        <w:pStyle w:val="ListParagraph"/>
        <w:numPr>
          <w:ilvl w:val="0"/>
          <w:numId w:val="25"/>
        </w:numPr>
      </w:pPr>
      <w:r>
        <w:t>Origin – Postmark does not match the city of the return address, name of sender is unusual or un-know, or no return address is provided.</w:t>
      </w:r>
    </w:p>
    <w:p w14:paraId="1A19AE10" w14:textId="634C0CB8" w:rsidR="001945F8" w:rsidRDefault="001945F8" w:rsidP="006A64BD">
      <w:pPr>
        <w:pStyle w:val="ListParagraph"/>
        <w:numPr>
          <w:ilvl w:val="0"/>
          <w:numId w:val="25"/>
        </w:numPr>
      </w:pPr>
      <w:r>
        <w:t>Postage – Excessive or inadequate postage.</w:t>
      </w:r>
    </w:p>
    <w:p w14:paraId="0C4C86C3" w14:textId="26B2E566" w:rsidR="001945F8" w:rsidRDefault="001945F8" w:rsidP="006A64BD">
      <w:pPr>
        <w:pStyle w:val="ListParagraph"/>
        <w:numPr>
          <w:ilvl w:val="0"/>
          <w:numId w:val="25"/>
        </w:numPr>
      </w:pPr>
      <w:r>
        <w:t xml:space="preserve">Balance </w:t>
      </w:r>
      <w:r w:rsidR="00A8035A">
        <w:t>–</w:t>
      </w:r>
      <w:r>
        <w:t xml:space="preserve"> </w:t>
      </w:r>
      <w:r w:rsidR="00A8035A">
        <w:t>The letter is lopsided; unusually thick; has an unusual amount of tape; has an irregular shape, soft spots, or bulges; or the letter or package seems heavy for its size.</w:t>
      </w:r>
    </w:p>
    <w:p w14:paraId="7053BCDF" w14:textId="684918CD" w:rsidR="00A8035A" w:rsidRDefault="00A8035A" w:rsidP="006A64BD">
      <w:pPr>
        <w:pStyle w:val="ListParagraph"/>
        <w:numPr>
          <w:ilvl w:val="0"/>
          <w:numId w:val="25"/>
        </w:numPr>
      </w:pPr>
      <w:r>
        <w:t>Contents – Stiffness or spring</w:t>
      </w:r>
      <w:r w:rsidR="009741DC">
        <w:t>iness of contents; protruding wires or components; oily outer wrapping or envelope; feels like it contains powdery</w:t>
      </w:r>
      <w:r w:rsidR="006019DF">
        <w:t xml:space="preserve"> substance; is buzzing, ticking, or makes a sloshing sound.</w:t>
      </w:r>
    </w:p>
    <w:p w14:paraId="32BD24D6" w14:textId="4C45F58B" w:rsidR="006019DF" w:rsidRDefault="006019DF" w:rsidP="006A64BD">
      <w:pPr>
        <w:pStyle w:val="ListParagraph"/>
        <w:numPr>
          <w:ilvl w:val="0"/>
          <w:numId w:val="25"/>
        </w:numPr>
      </w:pPr>
      <w:r>
        <w:t>Smell – Particularly almond or other suspicious odors.</w:t>
      </w:r>
    </w:p>
    <w:p w14:paraId="4B3FF92C" w14:textId="3BC4ADE4" w:rsidR="006019DF" w:rsidRDefault="006019DF" w:rsidP="006A64BD">
      <w:pPr>
        <w:pStyle w:val="ListParagraph"/>
        <w:numPr>
          <w:ilvl w:val="0"/>
          <w:numId w:val="25"/>
        </w:numPr>
      </w:pPr>
      <w:r>
        <w:lastRenderedPageBreak/>
        <w:t xml:space="preserve">Writing </w:t>
      </w:r>
      <w:r w:rsidR="009C53FB">
        <w:t>–</w:t>
      </w:r>
      <w:r>
        <w:t xml:space="preserve"> </w:t>
      </w:r>
      <w:r w:rsidR="009C53FB">
        <w:t>Handwriting of sender is not familiar or indicates a foreign style not normally received by recipient or cut-and-paste or rub-on-block letters are used.  Common words, names, or titles are misspelled, or special instructions like “fragile</w:t>
      </w:r>
      <w:r w:rsidR="00DA1D93">
        <w:t>,” “confidential,” or “do not delay” are present.</w:t>
      </w:r>
    </w:p>
    <w:p w14:paraId="29A45E8C" w14:textId="10384C48" w:rsidR="00DA1D93" w:rsidRDefault="00DA1D93" w:rsidP="00DA1D93">
      <w:pPr>
        <w:rPr>
          <w:b/>
          <w:bCs/>
        </w:rPr>
      </w:pPr>
      <w:r>
        <w:rPr>
          <w:b/>
          <w:bCs/>
        </w:rPr>
        <w:t>Utility Failure</w:t>
      </w:r>
    </w:p>
    <w:p w14:paraId="55790629" w14:textId="0CDE8B3F" w:rsidR="002273A9" w:rsidRPr="002B7E25" w:rsidRDefault="002273A9" w:rsidP="002B7E25">
      <w:r>
        <w:rPr>
          <w:color w:val="0072C6" w:themeColor="accent1"/>
        </w:rPr>
        <w:t>Gas:</w:t>
      </w:r>
    </w:p>
    <w:p w14:paraId="02BCF470" w14:textId="5D9B3414" w:rsidR="002B7E25" w:rsidRDefault="000D3E9B" w:rsidP="006A64BD">
      <w:pPr>
        <w:pStyle w:val="ListParagraph"/>
        <w:numPr>
          <w:ilvl w:val="0"/>
          <w:numId w:val="26"/>
        </w:numPr>
      </w:pPr>
      <w:r>
        <w:t>If you smell gas, and if personal safety allows, turn off the source and evacuate the immediate area.</w:t>
      </w:r>
    </w:p>
    <w:p w14:paraId="2BD81481" w14:textId="0A0DDACD" w:rsidR="000D3E9B" w:rsidRDefault="000D3E9B" w:rsidP="006A64BD">
      <w:pPr>
        <w:pStyle w:val="ListParagraph"/>
        <w:numPr>
          <w:ilvl w:val="0"/>
          <w:numId w:val="26"/>
        </w:numPr>
      </w:pPr>
      <w:r>
        <w:t>The human nose is extremely sensitive to the odorant placed into natural gas, so it is detectable far below any fire/explosion levels.  Therefore, for low-level smells, immediately contact 911.</w:t>
      </w:r>
    </w:p>
    <w:p w14:paraId="30D0A345" w14:textId="4214F393" w:rsidR="000D3E9B" w:rsidRDefault="000D3E9B" w:rsidP="006A64BD">
      <w:pPr>
        <w:pStyle w:val="ListParagraph"/>
        <w:numPr>
          <w:ilvl w:val="0"/>
          <w:numId w:val="26"/>
        </w:numPr>
      </w:pPr>
      <w:r>
        <w:t xml:space="preserve">If </w:t>
      </w:r>
      <w:r w:rsidR="00E216FF">
        <w:t>the gas</w:t>
      </w:r>
      <w:r>
        <w:t xml:space="preserve"> odor is strong, evacuate the building using the fire alarm pull station and call 911.  Evacuate to your building Emergency Assembly Point.</w:t>
      </w:r>
    </w:p>
    <w:p w14:paraId="2765BC06" w14:textId="16ABBC8F" w:rsidR="00324AF1" w:rsidRDefault="00324AF1" w:rsidP="006A64BD">
      <w:pPr>
        <w:pStyle w:val="ListParagraph"/>
        <w:numPr>
          <w:ilvl w:val="0"/>
          <w:numId w:val="26"/>
        </w:numPr>
      </w:pPr>
      <w:r>
        <w:t>Do not turn on/off any electrical equipment or light</w:t>
      </w:r>
      <w:r w:rsidR="00835933">
        <w:t xml:space="preserve"> </w:t>
      </w:r>
      <w:r>
        <w:t>switches.</w:t>
      </w:r>
    </w:p>
    <w:p w14:paraId="618EC314" w14:textId="4CF86B08" w:rsidR="00324AF1" w:rsidRDefault="00835933" w:rsidP="00324AF1">
      <w:r>
        <w:rPr>
          <w:color w:val="0072C6" w:themeColor="accent1"/>
        </w:rPr>
        <w:t>Electrical outage:</w:t>
      </w:r>
    </w:p>
    <w:p w14:paraId="59AA1D19" w14:textId="7F706A52" w:rsidR="00835933" w:rsidRDefault="00835933" w:rsidP="006A64BD">
      <w:pPr>
        <w:pStyle w:val="ListParagraph"/>
        <w:numPr>
          <w:ilvl w:val="0"/>
          <w:numId w:val="27"/>
        </w:numPr>
      </w:pPr>
      <w:r>
        <w:t>Unplug sensitive equipment if not connected to a surge protector.</w:t>
      </w:r>
    </w:p>
    <w:p w14:paraId="2E0B5728" w14:textId="6433F9DA" w:rsidR="00AD2C68" w:rsidRDefault="00AD2C68" w:rsidP="006A64BD">
      <w:pPr>
        <w:pStyle w:val="ListParagraph"/>
        <w:numPr>
          <w:ilvl w:val="0"/>
          <w:numId w:val="27"/>
        </w:numPr>
      </w:pPr>
      <w:r>
        <w:t>Disconnect hazardous equipment according to your local plan.</w:t>
      </w:r>
    </w:p>
    <w:p w14:paraId="117FBFD9" w14:textId="3996EACA" w:rsidR="00AD2C68" w:rsidRDefault="00AD2C68" w:rsidP="006A64BD">
      <w:pPr>
        <w:pStyle w:val="ListParagraph"/>
        <w:numPr>
          <w:ilvl w:val="0"/>
          <w:numId w:val="27"/>
        </w:numPr>
      </w:pPr>
      <w:r>
        <w:t>Check elevators for trapped individuals and call 911.</w:t>
      </w:r>
    </w:p>
    <w:p w14:paraId="16C1EE97" w14:textId="1DB7BFBE" w:rsidR="00AD2C68" w:rsidRDefault="006268A6" w:rsidP="006A64BD">
      <w:pPr>
        <w:pStyle w:val="ListParagraph"/>
        <w:numPr>
          <w:ilvl w:val="0"/>
          <w:numId w:val="27"/>
        </w:numPr>
      </w:pPr>
      <w:r>
        <w:t>Stay away from the downed power lines.</w:t>
      </w:r>
    </w:p>
    <w:p w14:paraId="15CD9D30" w14:textId="5AFD1FE2" w:rsidR="006268A6" w:rsidRDefault="006268A6" w:rsidP="006A64BD">
      <w:pPr>
        <w:pStyle w:val="ListParagraph"/>
        <w:numPr>
          <w:ilvl w:val="0"/>
          <w:numId w:val="27"/>
        </w:numPr>
      </w:pPr>
      <w:r>
        <w:t>Emergency exit lighting may only stay on for a short time.</w:t>
      </w:r>
    </w:p>
    <w:p w14:paraId="5CD6D701" w14:textId="7587D722" w:rsidR="006268A6" w:rsidRDefault="004F7281" w:rsidP="006A64BD">
      <w:pPr>
        <w:pStyle w:val="ListParagraph"/>
        <w:numPr>
          <w:ilvl w:val="0"/>
          <w:numId w:val="27"/>
        </w:numPr>
      </w:pPr>
      <w:r>
        <w:t>During an extended power outage, you may have to leave the building and go to your building Emergency Assembly Point.</w:t>
      </w:r>
    </w:p>
    <w:p w14:paraId="1B70D748" w14:textId="7DD8956E" w:rsidR="004F7281" w:rsidRDefault="004F7281" w:rsidP="006A64BD">
      <w:pPr>
        <w:pStyle w:val="ListParagraph"/>
        <w:numPr>
          <w:ilvl w:val="0"/>
          <w:numId w:val="27"/>
        </w:numPr>
      </w:pPr>
      <w:r>
        <w:t>In order to maximize</w:t>
      </w:r>
      <w:r w:rsidR="003918CA">
        <w:t xml:space="preserve"> the emergency generator, run time and efficiency, please turn off power to non-essential areas (departmental kitchen, copier room, etc.) and equipment (coffee machines, etc.).</w:t>
      </w:r>
    </w:p>
    <w:p w14:paraId="3589E2A5" w14:textId="7BC92A21" w:rsidR="003918CA" w:rsidRDefault="000F2C29" w:rsidP="003918CA">
      <w:pPr>
        <w:rPr>
          <w:color w:val="0072C6" w:themeColor="accent1"/>
        </w:rPr>
      </w:pPr>
      <w:r>
        <w:rPr>
          <w:color w:val="0072C6" w:themeColor="accent1"/>
        </w:rPr>
        <w:lastRenderedPageBreak/>
        <w:t>Plumbing/Flooding:</w:t>
      </w:r>
    </w:p>
    <w:p w14:paraId="23E97F73" w14:textId="27D9B7BD" w:rsidR="000F2C29" w:rsidRDefault="00D739D4" w:rsidP="006A64BD">
      <w:pPr>
        <w:pStyle w:val="ListParagraph"/>
        <w:numPr>
          <w:ilvl w:val="0"/>
          <w:numId w:val="28"/>
        </w:numPr>
      </w:pPr>
      <w:r>
        <w:t xml:space="preserve">If personal safety allows, shut off electrical equipment and evacuation area.  Do not enter </w:t>
      </w:r>
      <w:r w:rsidR="00EE62D3">
        <w:t>an area</w:t>
      </w:r>
      <w:r>
        <w:t xml:space="preserve"> where live electrical circuits are in contact with water.</w:t>
      </w:r>
    </w:p>
    <w:p w14:paraId="6C5B8AF6" w14:textId="3829ABAC" w:rsidR="00D739D4" w:rsidRDefault="0047467B" w:rsidP="006A64BD">
      <w:pPr>
        <w:pStyle w:val="ListParagraph"/>
        <w:numPr>
          <w:ilvl w:val="0"/>
          <w:numId w:val="28"/>
        </w:numPr>
      </w:pPr>
      <w:r>
        <w:t>Do not drink water from any campus systems after an earthquake or a flood.</w:t>
      </w:r>
    </w:p>
    <w:p w14:paraId="25F15827" w14:textId="4643D12F" w:rsidR="0047467B" w:rsidRDefault="0047467B" w:rsidP="006A64BD">
      <w:pPr>
        <w:pStyle w:val="ListParagraph"/>
        <w:numPr>
          <w:ilvl w:val="0"/>
          <w:numId w:val="28"/>
        </w:numPr>
      </w:pPr>
      <w:r>
        <w:t>Report plumbing breaks to Facilities</w:t>
      </w:r>
      <w:r w:rsidR="00763102">
        <w:t xml:space="preserve"> Management at (701) 421-</w:t>
      </w:r>
      <w:r w:rsidR="00A1164D">
        <w:t>15</w:t>
      </w:r>
      <w:r w:rsidR="006707FA">
        <w:t>23</w:t>
      </w:r>
      <w:r w:rsidR="00ED39D9">
        <w:t>.</w:t>
      </w:r>
    </w:p>
    <w:p w14:paraId="23F230C7" w14:textId="041929F1" w:rsidR="00ED39D9" w:rsidRDefault="006A5F60" w:rsidP="00ED39D9">
      <w:pPr>
        <w:rPr>
          <w:color w:val="0072C6" w:themeColor="accent1"/>
        </w:rPr>
      </w:pPr>
      <w:r>
        <w:rPr>
          <w:color w:val="0072C6" w:themeColor="accent1"/>
        </w:rPr>
        <w:t>Heating and ventilation:</w:t>
      </w:r>
    </w:p>
    <w:p w14:paraId="1C65E143" w14:textId="48EAC3AA" w:rsidR="006A5F60" w:rsidRDefault="00462759" w:rsidP="006A64BD">
      <w:pPr>
        <w:pStyle w:val="ListParagraph"/>
        <w:numPr>
          <w:ilvl w:val="0"/>
          <w:numId w:val="29"/>
        </w:numPr>
      </w:pPr>
      <w:r>
        <w:t>Report air conditioning or heating problems to Facilities Management at (701) 421-</w:t>
      </w:r>
      <w:r w:rsidR="003B7E0B">
        <w:t>1523.</w:t>
      </w:r>
    </w:p>
    <w:p w14:paraId="57061484" w14:textId="49353335" w:rsidR="003B7E0B" w:rsidRPr="000210E2" w:rsidRDefault="007B2720" w:rsidP="000210E2">
      <w:pPr>
        <w:pStyle w:val="Heading2"/>
        <w:rPr>
          <w:rFonts w:asciiTheme="minorHAnsi" w:hAnsiTheme="minorHAnsi" w:cstheme="minorHAnsi"/>
          <w:sz w:val="24"/>
          <w:szCs w:val="24"/>
        </w:rPr>
      </w:pPr>
      <w:bookmarkStart w:id="30" w:name="_Toc209014384"/>
      <w:r w:rsidRPr="000210E2">
        <w:rPr>
          <w:rFonts w:asciiTheme="minorHAnsi" w:hAnsiTheme="minorHAnsi" w:cstheme="minorHAnsi"/>
          <w:sz w:val="24"/>
          <w:szCs w:val="24"/>
        </w:rPr>
        <w:t>7.3</w:t>
      </w:r>
      <w:r w:rsidRPr="000210E2">
        <w:rPr>
          <w:rFonts w:asciiTheme="minorHAnsi" w:hAnsiTheme="minorHAnsi" w:cstheme="minorHAnsi"/>
          <w:sz w:val="24"/>
          <w:szCs w:val="24"/>
        </w:rPr>
        <w:tab/>
        <w:t>METHODS OF EMERGENCY COMMUNICATIONS</w:t>
      </w:r>
      <w:bookmarkEnd w:id="30"/>
    </w:p>
    <w:p w14:paraId="55B95091" w14:textId="1B38BF7C" w:rsidR="007B2720" w:rsidRDefault="0091533D" w:rsidP="003B7E0B">
      <w:r>
        <w:t xml:space="preserve">In the event of a large-scale emergency, urgent crisis, or other dangerous situation on the </w:t>
      </w:r>
      <w:r w:rsidR="00743A62">
        <w:t>NHSC campus, the following communication methods can be used to deliver emergency messages to the campus community, gather information, and direct emergency responders.  Each of these</w:t>
      </w:r>
      <w:r w:rsidR="00AE09B8">
        <w:t xml:space="preserve"> communication methods is assessed on a semester basis.</w:t>
      </w:r>
    </w:p>
    <w:p w14:paraId="608B1C2B" w14:textId="41E056BC" w:rsidR="00AE09B8" w:rsidRPr="00AE09B8" w:rsidRDefault="009458C0" w:rsidP="006A64BD">
      <w:pPr>
        <w:pStyle w:val="ListParagraph"/>
        <w:numPr>
          <w:ilvl w:val="0"/>
          <w:numId w:val="29"/>
        </w:numPr>
        <w:rPr>
          <w:b/>
          <w:bCs/>
        </w:rPr>
      </w:pPr>
      <w:r>
        <w:rPr>
          <w:b/>
          <w:bCs/>
        </w:rPr>
        <w:t>NHSC</w:t>
      </w:r>
      <w:r w:rsidR="00AE09B8" w:rsidRPr="00AE09B8">
        <w:rPr>
          <w:b/>
          <w:bCs/>
        </w:rPr>
        <w:t xml:space="preserve"> Alert System:</w:t>
      </w:r>
      <w:r w:rsidR="00AE09B8">
        <w:rPr>
          <w:b/>
          <w:bCs/>
        </w:rPr>
        <w:t xml:space="preserve"> </w:t>
      </w:r>
      <w:r w:rsidR="00AE09B8">
        <w:t xml:space="preserve">Employees and students are encouraged to subscribe to the </w:t>
      </w:r>
      <w:r>
        <w:t>NHSC</w:t>
      </w:r>
      <w:r w:rsidR="00AE09B8">
        <w:t xml:space="preserve"> system.  To ensure the emergency notification system is functioning appropriately, NHSC conducts a test of </w:t>
      </w:r>
      <w:r>
        <w:t>NHSC</w:t>
      </w:r>
      <w:r w:rsidR="00AE09B8">
        <w:t>-Alert at least once each semester.</w:t>
      </w:r>
    </w:p>
    <w:p w14:paraId="5FA3E4AF" w14:textId="58645E2B" w:rsidR="00AE09B8" w:rsidRPr="00C2753A" w:rsidRDefault="00AE09B8" w:rsidP="006A64BD">
      <w:pPr>
        <w:pStyle w:val="ListParagraph"/>
        <w:numPr>
          <w:ilvl w:val="0"/>
          <w:numId w:val="29"/>
        </w:numPr>
        <w:rPr>
          <w:b/>
          <w:bCs/>
        </w:rPr>
      </w:pPr>
      <w:r>
        <w:rPr>
          <w:b/>
          <w:bCs/>
        </w:rPr>
        <w:t>Emer</w:t>
      </w:r>
      <w:r w:rsidR="00A1164D">
        <w:rPr>
          <w:b/>
          <w:bCs/>
        </w:rPr>
        <w:t>gency</w:t>
      </w:r>
      <w:r>
        <w:rPr>
          <w:b/>
          <w:bCs/>
        </w:rPr>
        <w:t xml:space="preserve"> list-serve</w:t>
      </w:r>
      <w:r w:rsidR="008B2447">
        <w:rPr>
          <w:b/>
          <w:bCs/>
        </w:rPr>
        <w:t xml:space="preserve"> and Email list-serv: </w:t>
      </w:r>
      <w:r w:rsidR="008B2447">
        <w:t>These are campus e-mail</w:t>
      </w:r>
      <w:r w:rsidR="00615C3D">
        <w:t xml:space="preserve"> distribution lists for all staff, faculty, and students at NHSC.  They can be used to broadcast information and instructions relevant to the threat or emergency situation.</w:t>
      </w:r>
    </w:p>
    <w:p w14:paraId="62BEF9E9" w14:textId="64C35D5D" w:rsidR="00C2753A" w:rsidRPr="00292EB0" w:rsidRDefault="00C2753A" w:rsidP="006A64BD">
      <w:pPr>
        <w:pStyle w:val="ListParagraph"/>
        <w:numPr>
          <w:ilvl w:val="0"/>
          <w:numId w:val="29"/>
        </w:numPr>
        <w:rPr>
          <w:b/>
          <w:bCs/>
        </w:rPr>
      </w:pPr>
      <w:r>
        <w:rPr>
          <w:b/>
          <w:bCs/>
        </w:rPr>
        <w:t xml:space="preserve">College Campus Website: </w:t>
      </w:r>
      <w:r>
        <w:t xml:space="preserve">The main campus website </w:t>
      </w:r>
      <w:hyperlink r:id="rId18" w:history="1">
        <w:r w:rsidR="00292EB0" w:rsidRPr="001E2363">
          <w:rPr>
            <w:rStyle w:val="Hyperlink"/>
            <w:color w:val="33A8FF" w:themeColor="hyperlink" w:themeTint="A6"/>
          </w:rPr>
          <w:t>www.nhsc.edu</w:t>
        </w:r>
      </w:hyperlink>
      <w:r w:rsidR="00292EB0">
        <w:t xml:space="preserve"> can be used to quickly provide information and updates during a critical incident on the NHSC campus.</w:t>
      </w:r>
    </w:p>
    <w:p w14:paraId="0C9709B1" w14:textId="77A5FC2A" w:rsidR="00292EB0" w:rsidRDefault="00292EB0" w:rsidP="006A64BD">
      <w:pPr>
        <w:pStyle w:val="ListParagraph"/>
        <w:numPr>
          <w:ilvl w:val="0"/>
          <w:numId w:val="29"/>
        </w:numPr>
        <w:rPr>
          <w:b/>
          <w:bCs/>
        </w:rPr>
      </w:pPr>
      <w:r>
        <w:rPr>
          <w:b/>
          <w:bCs/>
        </w:rPr>
        <w:t>Phone</w:t>
      </w:r>
    </w:p>
    <w:p w14:paraId="4E681E33" w14:textId="0EB797E4" w:rsidR="00292EB0" w:rsidRDefault="00292EB0" w:rsidP="006A64BD">
      <w:pPr>
        <w:pStyle w:val="ListParagraph"/>
        <w:numPr>
          <w:ilvl w:val="0"/>
          <w:numId w:val="29"/>
        </w:numPr>
        <w:rPr>
          <w:b/>
          <w:bCs/>
        </w:rPr>
      </w:pPr>
      <w:r>
        <w:rPr>
          <w:b/>
          <w:bCs/>
        </w:rPr>
        <w:t>Outdoor warning sirens</w:t>
      </w:r>
    </w:p>
    <w:p w14:paraId="34BEB3F6" w14:textId="5DB8B548" w:rsidR="00292EB0" w:rsidRDefault="00AA41CD" w:rsidP="006A64BD">
      <w:pPr>
        <w:pStyle w:val="ListParagraph"/>
        <w:numPr>
          <w:ilvl w:val="0"/>
          <w:numId w:val="29"/>
        </w:numPr>
        <w:rPr>
          <w:b/>
          <w:bCs/>
        </w:rPr>
      </w:pPr>
      <w:r>
        <w:rPr>
          <w:b/>
          <w:bCs/>
        </w:rPr>
        <w:t>Local media</w:t>
      </w:r>
    </w:p>
    <w:p w14:paraId="7496B150" w14:textId="2E4658FF" w:rsidR="00AA41CD" w:rsidRDefault="00AA41CD" w:rsidP="006A64BD">
      <w:pPr>
        <w:pStyle w:val="ListParagraph"/>
        <w:numPr>
          <w:ilvl w:val="0"/>
          <w:numId w:val="29"/>
        </w:numPr>
        <w:rPr>
          <w:b/>
          <w:bCs/>
        </w:rPr>
      </w:pPr>
      <w:r>
        <w:rPr>
          <w:b/>
          <w:bCs/>
        </w:rPr>
        <w:t>NHSC social media</w:t>
      </w:r>
    </w:p>
    <w:p w14:paraId="7AD21DEC" w14:textId="5A830548" w:rsidR="00AA41CD" w:rsidRPr="000210E2" w:rsidRDefault="00AA41CD" w:rsidP="000210E2">
      <w:pPr>
        <w:pStyle w:val="Heading2"/>
        <w:rPr>
          <w:rFonts w:asciiTheme="minorHAnsi" w:hAnsiTheme="minorHAnsi" w:cstheme="minorHAnsi"/>
          <w:sz w:val="24"/>
          <w:szCs w:val="24"/>
        </w:rPr>
      </w:pPr>
      <w:bookmarkStart w:id="31" w:name="_Toc209014385"/>
      <w:r w:rsidRPr="000210E2">
        <w:rPr>
          <w:rFonts w:asciiTheme="minorHAnsi" w:hAnsiTheme="minorHAnsi" w:cstheme="minorHAnsi"/>
          <w:sz w:val="24"/>
          <w:szCs w:val="24"/>
        </w:rPr>
        <w:lastRenderedPageBreak/>
        <w:t>7.4</w:t>
      </w:r>
      <w:r w:rsidRPr="000210E2">
        <w:rPr>
          <w:rFonts w:asciiTheme="minorHAnsi" w:hAnsiTheme="minorHAnsi" w:cstheme="minorHAnsi"/>
          <w:b/>
          <w:bCs/>
          <w:sz w:val="24"/>
          <w:szCs w:val="24"/>
        </w:rPr>
        <w:tab/>
      </w:r>
      <w:r w:rsidRPr="000210E2">
        <w:rPr>
          <w:rFonts w:asciiTheme="minorHAnsi" w:hAnsiTheme="minorHAnsi" w:cstheme="minorHAnsi"/>
          <w:sz w:val="24"/>
          <w:szCs w:val="24"/>
        </w:rPr>
        <w:t>TESTING EMERGENCY RESPONSE AND EVACUATION PROCEDURES</w:t>
      </w:r>
      <w:bookmarkEnd w:id="31"/>
    </w:p>
    <w:p w14:paraId="55A040EF" w14:textId="21BA6CEE" w:rsidR="003D095E" w:rsidRDefault="003D095E" w:rsidP="00AA41CD">
      <w:r>
        <w:t>NHSC tests its emergency response and evacuation procedures on an annual basis, in compliance with the Clery Act.  A “test” for Clery Act purposes includes regularly scheduled drills</w:t>
      </w:r>
      <w:r w:rsidR="00D33581">
        <w:t>, exercises, and appropriate follow-through activities designed for assessment and evaluation of emergency plans and capabilities.  A test may be announced or una</w:t>
      </w:r>
      <w:r w:rsidR="00BA06E0">
        <w:t xml:space="preserve">nnounced.  Activations to real-time incidents are not considered </w:t>
      </w:r>
      <w:r w:rsidR="00EE62D3">
        <w:t>part</w:t>
      </w:r>
      <w:r w:rsidR="00BA06E0">
        <w:t xml:space="preserve"> of the testing process.  NHSC Emergency Management &amp; Continuity drafts and sends out a college community-wide email, in compliance with the Clery Act</w:t>
      </w:r>
      <w:r w:rsidR="00DB0E61">
        <w:t xml:space="preserve"> regulations for addressing emergency response and evacuation on a campus-wide scale.  The campus-wide email contains a link to NHSC’s</w:t>
      </w:r>
      <w:r w:rsidR="00676261">
        <w:t xml:space="preserve"> emergency response and evacuation procedures.</w:t>
      </w:r>
    </w:p>
    <w:p w14:paraId="1A05D3B8" w14:textId="19C3BF8A" w:rsidR="00676261" w:rsidRDefault="00676261" w:rsidP="00AA41CD">
      <w:r>
        <w:t>NHSC Emergency Management &amp; Continuity designs at least one scheduled exercise (i.e., test involving coordination of efforts) and drill (i.e., activity that tests procedural operation) each year to test emergency response and evacuation on a campus-wide scale (i.e., all campus buildings, not necessarily all at once).  The test is designed to address NHSC’s</w:t>
      </w:r>
      <w:r w:rsidR="00D86621">
        <w:t xml:space="preserve"> plan for evacuating all of the buildings on campus and reviewing the plans for the evacuation of each building.  This test is announced to the campus community each year in conjunction with publication to the college campus community of emergency response and evacuation procedures</w:t>
      </w:r>
      <w:r w:rsidR="00455A26">
        <w:t xml:space="preserve">.  The test contains follow-through activities managed by the NHSC Emergency Manager in the form of an After-Action Report and gathering feedback from participants.  Furthermore, this test is designed for assessment of emergency plans and capabilities at NHSC with defined and measurable goals.  The test is designed </w:t>
      </w:r>
      <w:r w:rsidR="0052589D">
        <w:t>such that once it is completed and an assessment has been done, the Emergency Management &amp; Continuity Program, in conjunction with other campus partners, can determine whether the test met its goals.</w:t>
      </w:r>
    </w:p>
    <w:p w14:paraId="2BCE55CB" w14:textId="77DCF963" w:rsidR="0052589D" w:rsidRDefault="0052589D" w:rsidP="00AA41CD">
      <w:r>
        <w:t>NHSC’s Emergency Management &amp; Continuity</w:t>
      </w:r>
      <w:r w:rsidR="00E26A57">
        <w:t>, in conjunction with other campus partners, performs various other tests, including drills and exercises, throughout each calendar year.  The Fire Department conducts fire drills for the dining halls, administrative buildings, and academic buildings annually.</w:t>
      </w:r>
    </w:p>
    <w:p w14:paraId="1D8A9F79" w14:textId="23218D6F" w:rsidR="00E26A57" w:rsidRDefault="00593C9C" w:rsidP="00AA41CD">
      <w:r>
        <w:lastRenderedPageBreak/>
        <w:t>Each test is documented and kept in Emergency Management &amp; Continuity records, with the following information documented; (a) a description of the test, (b) the date the test was held, (c) the time the test started a</w:t>
      </w:r>
      <w:r w:rsidR="00C40508">
        <w:t xml:space="preserve">nd ended, and whether the test was announced or unannounced.  For more information contact the </w:t>
      </w:r>
      <w:r w:rsidR="005614A0">
        <w:t>Campus Safety Officer</w:t>
      </w:r>
      <w:r w:rsidR="00C40508">
        <w:t xml:space="preserve"> at (701) 421-</w:t>
      </w:r>
      <w:r w:rsidR="00525F48">
        <w:t>00</w:t>
      </w:r>
      <w:r w:rsidR="006707FA">
        <w:t>23</w:t>
      </w:r>
      <w:r w:rsidR="00C40508">
        <w:t xml:space="preserve"> or </w:t>
      </w:r>
      <w:r w:rsidR="00525F48">
        <w:t>Deon Carter</w:t>
      </w:r>
      <w:r w:rsidR="00C40508">
        <w:t xml:space="preserve">, </w:t>
      </w:r>
      <w:hyperlink r:id="rId19" w:history="1">
        <w:r w:rsidR="00525F48" w:rsidRPr="00FD755A">
          <w:rPr>
            <w:rStyle w:val="Hyperlink"/>
          </w:rPr>
          <w:t>dcarter@nhsc.edu</w:t>
        </w:r>
      </w:hyperlink>
      <w:r w:rsidR="00062CCC">
        <w:t>.</w:t>
      </w:r>
    </w:p>
    <w:p w14:paraId="7B523CA0" w14:textId="1C872AB4" w:rsidR="00062CCC" w:rsidRPr="000210E2" w:rsidRDefault="00A82BDA" w:rsidP="000210E2">
      <w:pPr>
        <w:pStyle w:val="Heading1"/>
        <w:rPr>
          <w:rFonts w:asciiTheme="minorHAnsi" w:hAnsiTheme="minorHAnsi" w:cstheme="minorHAnsi"/>
          <w:sz w:val="32"/>
        </w:rPr>
      </w:pPr>
      <w:bookmarkStart w:id="32" w:name="_Toc209014386"/>
      <w:r w:rsidRPr="000210E2">
        <w:rPr>
          <w:rFonts w:asciiTheme="minorHAnsi" w:hAnsiTheme="minorHAnsi" w:cstheme="minorHAnsi"/>
          <w:sz w:val="32"/>
        </w:rPr>
        <w:t>8.0</w:t>
      </w:r>
      <w:r w:rsidRPr="000210E2">
        <w:rPr>
          <w:rFonts w:asciiTheme="minorHAnsi" w:hAnsiTheme="minorHAnsi" w:cstheme="minorHAnsi"/>
          <w:sz w:val="32"/>
        </w:rPr>
        <w:tab/>
      </w:r>
      <w:r w:rsidR="00D15FCB">
        <w:rPr>
          <w:rFonts w:asciiTheme="minorHAnsi" w:hAnsiTheme="minorHAnsi" w:cstheme="minorHAnsi"/>
          <w:sz w:val="32"/>
        </w:rPr>
        <w:tab/>
      </w:r>
      <w:r w:rsidRPr="000210E2">
        <w:rPr>
          <w:rFonts w:asciiTheme="minorHAnsi" w:hAnsiTheme="minorHAnsi" w:cstheme="minorHAnsi"/>
          <w:sz w:val="32"/>
        </w:rPr>
        <w:t>Emergency Notifications</w:t>
      </w:r>
      <w:bookmarkEnd w:id="32"/>
    </w:p>
    <w:p w14:paraId="5852A603" w14:textId="117DEB3D" w:rsidR="00A82BDA" w:rsidRDefault="00A82BDA" w:rsidP="00AA41CD">
      <w:r>
        <w:t>The Clery Act requires all colleges and universities to have an Emergency Notification policy and procedures in place in accordance with Clery Act emergency notification criteria.  Emergency Notifications must be issued to the campus community (or segments of the campus community) upon confirmation of a significant emergency or dangerous situation occurring on campus, involving an immediate threat to the health and safety of students and employees.  As described below, the Campus Saf</w:t>
      </w:r>
      <w:r w:rsidR="00F90239">
        <w:t>ety Office (NHSC) has developed a comprehensive emergency notification policy that sets forth college guidelines in issuing an Emergency Notification.</w:t>
      </w:r>
    </w:p>
    <w:p w14:paraId="0FE75AF2" w14:textId="14120646" w:rsidR="00F85805" w:rsidRPr="000210E2" w:rsidRDefault="0009603B" w:rsidP="000210E2">
      <w:pPr>
        <w:pStyle w:val="Heading2"/>
        <w:rPr>
          <w:rFonts w:asciiTheme="minorHAnsi" w:hAnsiTheme="minorHAnsi" w:cstheme="minorHAnsi"/>
          <w:sz w:val="24"/>
          <w:szCs w:val="24"/>
        </w:rPr>
      </w:pPr>
      <w:bookmarkStart w:id="33" w:name="_Toc209014387"/>
      <w:r w:rsidRPr="000210E2">
        <w:rPr>
          <w:rFonts w:asciiTheme="minorHAnsi" w:hAnsiTheme="minorHAnsi" w:cstheme="minorHAnsi"/>
          <w:sz w:val="24"/>
          <w:szCs w:val="24"/>
        </w:rPr>
        <w:t>8.1</w:t>
      </w:r>
      <w:r w:rsidRPr="000210E2">
        <w:rPr>
          <w:rFonts w:asciiTheme="minorHAnsi" w:hAnsiTheme="minorHAnsi" w:cstheme="minorHAnsi"/>
          <w:sz w:val="24"/>
          <w:szCs w:val="24"/>
        </w:rPr>
        <w:tab/>
      </w:r>
      <w:r w:rsidR="00881D3F">
        <w:rPr>
          <w:rFonts w:asciiTheme="minorHAnsi" w:hAnsiTheme="minorHAnsi" w:cstheme="minorHAnsi"/>
          <w:sz w:val="24"/>
          <w:szCs w:val="24"/>
        </w:rPr>
        <w:t>NHSC</w:t>
      </w:r>
      <w:r w:rsidRPr="000210E2">
        <w:rPr>
          <w:rFonts w:asciiTheme="minorHAnsi" w:hAnsiTheme="minorHAnsi" w:cstheme="minorHAnsi"/>
          <w:sz w:val="24"/>
          <w:szCs w:val="24"/>
        </w:rPr>
        <w:t xml:space="preserve"> ALERT SYSTEM REGISTRATION</w:t>
      </w:r>
      <w:bookmarkEnd w:id="33"/>
    </w:p>
    <w:p w14:paraId="1BD1E543" w14:textId="60BAF42F" w:rsidR="0009603B" w:rsidRDefault="0009603B" w:rsidP="00AA41CD">
      <w:r>
        <w:t>All students, staff, and faculty are encouraged to sign-up to receive Emergency Notifications by text message.  Emergency Notification messages are typically sent by email and text.</w:t>
      </w:r>
      <w:r w:rsidR="004461C6">
        <w:t xml:space="preserve">  Emails are sent to all </w:t>
      </w:r>
      <w:r w:rsidR="00597F94">
        <w:t xml:space="preserve">NHSC email addresses (i.e., students and employees).  Text messages are sent to the cell phone of those students and employees who have registered their phone numbers and </w:t>
      </w:r>
      <w:r w:rsidR="00487B3C">
        <w:t xml:space="preserve">opted-in to receive such notifications.  To add a device or make changes, log in to </w:t>
      </w:r>
      <w:r w:rsidR="00704903">
        <w:t>NHSC</w:t>
      </w:r>
      <w:r w:rsidR="00487B3C">
        <w:t xml:space="preserve"> Alert located at </w:t>
      </w:r>
      <w:r w:rsidR="00740326">
        <w:t>MYNHSC and update your current phone numbe</w:t>
      </w:r>
      <w:r w:rsidR="00185716">
        <w:t>r.</w:t>
      </w:r>
    </w:p>
    <w:p w14:paraId="6FAF5908" w14:textId="08CD97C0" w:rsidR="00EB0E9F" w:rsidRPr="000210E2" w:rsidRDefault="00EB0E9F" w:rsidP="000210E2">
      <w:pPr>
        <w:pStyle w:val="Heading2"/>
        <w:rPr>
          <w:rFonts w:asciiTheme="minorHAnsi" w:hAnsiTheme="minorHAnsi" w:cstheme="minorHAnsi"/>
          <w:sz w:val="24"/>
          <w:szCs w:val="24"/>
        </w:rPr>
      </w:pPr>
      <w:bookmarkStart w:id="34" w:name="_Toc209014388"/>
      <w:r w:rsidRPr="000210E2">
        <w:rPr>
          <w:rFonts w:asciiTheme="minorHAnsi" w:hAnsiTheme="minorHAnsi" w:cstheme="minorHAnsi"/>
          <w:sz w:val="24"/>
          <w:szCs w:val="24"/>
        </w:rPr>
        <w:t>8.2</w:t>
      </w:r>
      <w:r w:rsidR="00B245E2" w:rsidRPr="000210E2">
        <w:rPr>
          <w:rFonts w:asciiTheme="minorHAnsi" w:hAnsiTheme="minorHAnsi" w:cstheme="minorHAnsi"/>
          <w:sz w:val="24"/>
          <w:szCs w:val="24"/>
        </w:rPr>
        <w:tab/>
        <w:t>EMERGENCY NOTIFICATIONS POLICY AND PROCEDURES</w:t>
      </w:r>
      <w:bookmarkEnd w:id="34"/>
    </w:p>
    <w:p w14:paraId="7C988004" w14:textId="22C03E5A" w:rsidR="00B245E2" w:rsidRDefault="00B245E2" w:rsidP="00AA41CD">
      <w:r>
        <w:t>NHSC Campus Safety Officer/Maintenance personnel are available during business hours.  Please call 911 in an emergency.  All members of the campus community</w:t>
      </w:r>
      <w:r w:rsidR="008310B1">
        <w:t xml:space="preserve"> are encouraged to notify NHSC of any significant emergency or dangerous situation that may involve an immediate or ongoing threat to the health and safety of students and/or employees on campus.  Emergencies should </w:t>
      </w:r>
      <w:r w:rsidR="00D67A10">
        <w:t>be</w:t>
      </w:r>
      <w:r w:rsidR="008310B1">
        <w:t xml:space="preserve"> reported to New Town Police by dialing 911 as soon as possible.  If the </w:t>
      </w:r>
      <w:r w:rsidR="008310B1">
        <w:lastRenderedPageBreak/>
        <w:t>situation is determined to pose</w:t>
      </w:r>
      <w:r w:rsidR="003C4359">
        <w:t xml:space="preserve"> a threat to the community, NHSC </w:t>
      </w:r>
      <w:r w:rsidR="003C4359">
        <w:rPr>
          <w:b/>
          <w:bCs/>
        </w:rPr>
        <w:t>will, without delay</w:t>
      </w:r>
      <w:r w:rsidR="003C4359">
        <w:t xml:space="preserve">, and considering the safety of the community, determine the content of the </w:t>
      </w:r>
      <w:r w:rsidR="000D04D6">
        <w:t>notification and initiate the notification</w:t>
      </w:r>
      <w:r w:rsidR="00DD0830">
        <w:t xml:space="preserve"> system, unless issuing a notification will, in the professional judgement of responsible authorities, compromise efforts to assist a victim or to contain, respond to, or otherwise mitigate the emergency.</w:t>
      </w:r>
    </w:p>
    <w:p w14:paraId="2A21181E" w14:textId="2D65131D" w:rsidR="00DD0830" w:rsidRDefault="00140657" w:rsidP="00AA41CD">
      <w:r>
        <w:t>When an Emergency Notification is issued to the NHSC campus community, notification will be made in accordance with provisions set for in the Clery Act and associated federal regulations, guidance handbook, and industry best practices.  NHSC has primary authority and responsibility for issuing Emergency Notifications and will do so in accordance with the NHSC policy in effect at the time of each notification made.  Each determination to issue an Emergency Notification will be based on the best professional judgement of on-duty personnel at NHSC, as set forth in departmental policy.</w:t>
      </w:r>
    </w:p>
    <w:p w14:paraId="49F751B3" w14:textId="35998E91" w:rsidR="000210E2" w:rsidRDefault="00C0124D" w:rsidP="00AA41CD">
      <w:r>
        <w:t>In the case of a prolonged emergency, the confirmation process, content, segments to be notified, method of communication, and initiation of the system may be delegated, b</w:t>
      </w:r>
      <w:r w:rsidR="00E1393C">
        <w:t xml:space="preserve">y authorized individuals, to other entities such as the Office of the President, to help coordinate broader </w:t>
      </w:r>
      <w:r w:rsidR="005E0F0C">
        <w:t>college communications and response.</w:t>
      </w:r>
    </w:p>
    <w:p w14:paraId="204A92D6" w14:textId="5041A6AC" w:rsidR="005E0F0C" w:rsidRPr="000210E2" w:rsidRDefault="005E0F0C" w:rsidP="000210E2">
      <w:pPr>
        <w:pStyle w:val="Heading2"/>
        <w:rPr>
          <w:rFonts w:asciiTheme="minorHAnsi" w:hAnsiTheme="minorHAnsi" w:cstheme="minorHAnsi"/>
          <w:sz w:val="24"/>
          <w:szCs w:val="24"/>
        </w:rPr>
      </w:pPr>
      <w:bookmarkStart w:id="35" w:name="_Toc209014389"/>
      <w:r w:rsidRPr="000210E2">
        <w:rPr>
          <w:rFonts w:asciiTheme="minorHAnsi" w:hAnsiTheme="minorHAnsi" w:cstheme="minorHAnsi"/>
          <w:sz w:val="24"/>
          <w:szCs w:val="24"/>
        </w:rPr>
        <w:t>8.3</w:t>
      </w:r>
      <w:r w:rsidRPr="000210E2">
        <w:rPr>
          <w:rFonts w:asciiTheme="minorHAnsi" w:hAnsiTheme="minorHAnsi" w:cstheme="minorHAnsi"/>
          <w:sz w:val="24"/>
          <w:szCs w:val="24"/>
        </w:rPr>
        <w:tab/>
        <w:t>DECISION TO ISSUE AN EMERGENCY NOTIFICATION</w:t>
      </w:r>
      <w:bookmarkEnd w:id="35"/>
    </w:p>
    <w:p w14:paraId="2D9500A0" w14:textId="14CFFAE5" w:rsidR="006741E2" w:rsidRDefault="005E0F0C" w:rsidP="00AA41CD">
      <w:r>
        <w:t>It is the primary responsibility of the Campus Safety/Maintenance Department t</w:t>
      </w:r>
      <w:r w:rsidR="005E0391">
        <w:t xml:space="preserve">o make an Emergency Notification issuance decision for the college community.  Those </w:t>
      </w:r>
      <w:r w:rsidR="00EE62D3">
        <w:t>responsibilities</w:t>
      </w:r>
      <w:r w:rsidR="005E0391">
        <w:t xml:space="preserve"> include but are not limited to the VP of Campus Services, Campus Safety</w:t>
      </w:r>
      <w:r w:rsidR="00B7176B">
        <w:t xml:space="preserve"> </w:t>
      </w:r>
      <w:r w:rsidR="00F92D6E">
        <w:t>Director</w:t>
      </w:r>
      <w:r w:rsidR="00B7176B">
        <w:t xml:space="preserve"> on duty, and Maintenance personnel.  As Emergency Notification message will be issued to the college campus community</w:t>
      </w:r>
      <w:r w:rsidR="00293C54">
        <w:t xml:space="preserve"> immediately upon confirmation of a significant emergency or dangerous situation occurring on campus that involves an immediate threat to the health or safety of students or employees.  “Confirmation” means that an official(s) has verified that a leg</w:t>
      </w:r>
      <w:r w:rsidR="006741E2">
        <w:t>itimate</w:t>
      </w:r>
      <w:r w:rsidR="00B648E8">
        <w:t xml:space="preserve"> emergency or dangerous situation exists.  This does not mean that all the pertinent</w:t>
      </w:r>
      <w:r w:rsidR="0094165E">
        <w:t xml:space="preserve"> details are known or even available at the time that an emergency or dangerous situation is confirmed.</w:t>
      </w:r>
    </w:p>
    <w:p w14:paraId="520BA25A" w14:textId="4977E9BE" w:rsidR="0094165E" w:rsidRDefault="0094165E" w:rsidP="00AA41CD">
      <w:r>
        <w:t>An “immediate threat” means an imminent or impending threat.</w:t>
      </w:r>
    </w:p>
    <w:p w14:paraId="26D87E5C" w14:textId="6CE028A5" w:rsidR="0094165E" w:rsidRDefault="0094165E" w:rsidP="00AA41CD">
      <w:r>
        <w:lastRenderedPageBreak/>
        <w:t>The types of incidents that may present an immediate threat to the colle</w:t>
      </w:r>
      <w:r w:rsidR="00BB734E">
        <w:t>ge community may include, but are not limited to, emergency or dangerous situations involving an : in-progress serious or violent crime; earthquake</w:t>
      </w:r>
      <w:r w:rsidR="00AA3A8C">
        <w:t>; active shooter; hostage/barricade situation; riot/civil unrest; bomb threat; suspicious package with confirmation of a device; tornado; file/explosion; homicide or suspicious death; structural damage to a college owned or controlled facility; bio</w:t>
      </w:r>
      <w:r w:rsidR="00D91960">
        <w:t>logical threat; significant flooding; gas leak; hazardous materials spill (e.g., chemical, biological, radiological, nuclear); armed intruder; and/or</w:t>
      </w:r>
      <w:r w:rsidR="00632788">
        <w:t xml:space="preserve"> illness outbreak.  Other types of emergencies or dangerous situations will be analyzed on a case-by-case basis.</w:t>
      </w:r>
    </w:p>
    <w:p w14:paraId="6038763A" w14:textId="3AAC639B" w:rsidR="00632788" w:rsidRDefault="00632788" w:rsidP="00AA41CD">
      <w:r>
        <w:t xml:space="preserve">When significant emergency or dangerous situation that involves criminal activity or public safety has been reported to NHSC, the Campus Safety </w:t>
      </w:r>
      <w:r w:rsidR="00F92D6E">
        <w:t>Director</w:t>
      </w:r>
      <w:r>
        <w:t xml:space="preserve"> on duty has primary responsibility to confirm that a reported emergency or dangerous situation is legitimate and poses an immediate threat to the health of safety of students and employees on the college campus.  In addition to the Campus</w:t>
      </w:r>
      <w:r w:rsidR="00380110">
        <w:t xml:space="preserve"> Safety Officer on duty, the Administration VP of NHSC may also confirm that a significant emergency or dangerous situation exists.</w:t>
      </w:r>
    </w:p>
    <w:p w14:paraId="0E0C2400" w14:textId="63605558" w:rsidR="00380110" w:rsidRDefault="00054A15" w:rsidP="00AA41CD">
      <w:r>
        <w:t>The Campus Safety Officer on duty may make the determination to issue an Emergency Notification as soon as feasibly possible, upon confirmation of a significant emergency or dangerous situation, as set forth in this policy.  Notification to a member of the Cam</w:t>
      </w:r>
      <w:r w:rsidR="00A73A46">
        <w:t xml:space="preserve">pus Safety Office Management Team (i.e., VP of Campus Services) is required </w:t>
      </w:r>
      <w:r w:rsidR="00B36386">
        <w:t>prior to the Emergency Notification being sent.</w:t>
      </w:r>
    </w:p>
    <w:p w14:paraId="6451B6BA" w14:textId="57B2F526" w:rsidR="00B36386" w:rsidRDefault="00B36386" w:rsidP="00AA41CD">
      <w:r>
        <w:t>Confirming significant emergencies or dangerous situations not directly related to criminal activity or public safety</w:t>
      </w:r>
      <w:r w:rsidR="00256355">
        <w:t xml:space="preserve"> situations may involve input and consultation from additional college departments and personnel, as well as other local, state, and federal agencies.  Significant emergencies or dangerous situations involving a disease or illness outbreak at NHSC</w:t>
      </w:r>
      <w:r w:rsidR="007A54FE">
        <w:t xml:space="preserve"> may be confirmed by </w:t>
      </w:r>
      <w:r w:rsidR="00214642">
        <w:t>members</w:t>
      </w:r>
      <w:r w:rsidR="007A54FE">
        <w:t xml:space="preserve"> of the college, College Campus Emergency Manager, and the Mountrail County Public Health Department.  Significant emergencies or dangerous situations involving weather </w:t>
      </w:r>
      <w:proofErr w:type="gramStart"/>
      <w:r w:rsidR="007A54FE">
        <w:t>a NHSC</w:t>
      </w:r>
      <w:proofErr w:type="gramEnd"/>
      <w:r w:rsidR="003B3D62">
        <w:t xml:space="preserve"> may be confirmed by the College Campus </w:t>
      </w:r>
      <w:r w:rsidR="005600BD">
        <w:t>Safety Officer</w:t>
      </w:r>
      <w:r w:rsidR="00B56189">
        <w:t>, the Mountrail County Office of emergency Management, sources from the National Oceanic and Atmospheric Administration</w:t>
      </w:r>
      <w:r w:rsidR="00A70445">
        <w:t xml:space="preserve"> (NOAA), and/or the National Weather Service (NWS).  Significant emergencies </w:t>
      </w:r>
      <w:r w:rsidR="00A70445">
        <w:lastRenderedPageBreak/>
        <w:t xml:space="preserve">or dangerous situations involving hazardous materials a NHSC may be confirmed by the College Facilities Management, the Campus Safety </w:t>
      </w:r>
      <w:r w:rsidR="00F92D6E">
        <w:t>Director</w:t>
      </w:r>
      <w:r w:rsidR="00A70445">
        <w:t xml:space="preserve"> on duty, and/or personnel from New Town Fire Department.</w:t>
      </w:r>
    </w:p>
    <w:p w14:paraId="3B6D7105" w14:textId="1CBC49E2" w:rsidR="00C51C78" w:rsidRPr="000210E2" w:rsidRDefault="00C51C78" w:rsidP="000210E2">
      <w:pPr>
        <w:pStyle w:val="Heading2"/>
        <w:rPr>
          <w:rFonts w:asciiTheme="minorHAnsi" w:hAnsiTheme="minorHAnsi" w:cstheme="minorHAnsi"/>
          <w:sz w:val="24"/>
          <w:szCs w:val="24"/>
        </w:rPr>
      </w:pPr>
      <w:bookmarkStart w:id="36" w:name="_Toc209014390"/>
      <w:r w:rsidRPr="000210E2">
        <w:rPr>
          <w:rFonts w:asciiTheme="minorHAnsi" w:hAnsiTheme="minorHAnsi" w:cstheme="minorHAnsi"/>
          <w:sz w:val="24"/>
          <w:szCs w:val="24"/>
        </w:rPr>
        <w:t>8.4</w:t>
      </w:r>
      <w:r w:rsidRPr="000210E2">
        <w:rPr>
          <w:rFonts w:asciiTheme="minorHAnsi" w:hAnsiTheme="minorHAnsi" w:cstheme="minorHAnsi"/>
          <w:sz w:val="24"/>
          <w:szCs w:val="24"/>
        </w:rPr>
        <w:tab/>
        <w:t>ISSUING EMERGENCY NOTIFICATIONS</w:t>
      </w:r>
      <w:bookmarkEnd w:id="36"/>
    </w:p>
    <w:p w14:paraId="7E6B31C6" w14:textId="53F971F6" w:rsidR="00C51C78" w:rsidRDefault="00C51C78" w:rsidP="00AA41CD">
      <w:r>
        <w:t>Once the decision has been made to issue an Emergency Notification, the Campus Safety Officer, Maintenance personnel and or the VP of Campus Services m</w:t>
      </w:r>
      <w:r w:rsidR="00BE50C5">
        <w:t>a</w:t>
      </w:r>
      <w:r>
        <w:t>y draft the Emergency Notification and initiate sending out the message.  In the event of an extreme circumstance/emergency situation, if any of the above mentioned is unable to draft and initiate sending out the Emergency Notification, it becomes the responsibility of the on-duty supervisor or other sworn personnel to draft and issue the Emergency Notification.</w:t>
      </w:r>
    </w:p>
    <w:p w14:paraId="3ECBE449" w14:textId="1B881477" w:rsidR="00C51C78" w:rsidRDefault="00C51C78" w:rsidP="00AA41CD">
      <w:r>
        <w:t xml:space="preserve">While the Clery Act allows for flexibility in alerting only the segment of the campus population that is determined to be at risk, NHSC Emergency Notification sent via </w:t>
      </w:r>
      <w:r w:rsidR="00881D3F">
        <w:t>NHSC</w:t>
      </w:r>
      <w:r>
        <w:t xml:space="preserve">-Alerts, by default, </w:t>
      </w:r>
      <w:proofErr w:type="gramStart"/>
      <w:r>
        <w:t>notify</w:t>
      </w:r>
      <w:proofErr w:type="gramEnd"/>
      <w:r w:rsidR="00372102">
        <w:t xml:space="preserve"> the entire college community by email </w:t>
      </w:r>
      <w:r w:rsidR="00C8238B">
        <w:t>and text messaging.</w:t>
      </w:r>
    </w:p>
    <w:p w14:paraId="464320D1" w14:textId="1C2EC823" w:rsidR="00C8238B" w:rsidRDefault="00C8238B" w:rsidP="00AA41CD">
      <w:r>
        <w:t xml:space="preserve">In certain cases, when only a segment of the population is at risk, an Emergency Notification may be sent to the impacted segment of the population rather than the entire campus community.  Personnel with Emergency Notification decision-making authority are responsible </w:t>
      </w:r>
      <w:r w:rsidR="00B057F1">
        <w:t>for</w:t>
      </w:r>
      <w:r>
        <w:t xml:space="preserve"> determining which segment of the population will be notified of the </w:t>
      </w:r>
      <w:r w:rsidR="00600088">
        <w:t>emergency</w:t>
      </w:r>
      <w:r>
        <w:t>.  NHSC will continue to monitor and assess the situation to determine if additional segments of the community should be issued the Emergency Notification.  These decisions are made on a case-by-case basis.</w:t>
      </w:r>
    </w:p>
    <w:p w14:paraId="5DFB2674" w14:textId="3FD807A9" w:rsidR="00C8238B" w:rsidRDefault="00C8238B" w:rsidP="00AA41CD">
      <w:r>
        <w:t xml:space="preserve">The following items may be included in the message, if available: (a) Title: “Emergency Notification,” (b) type of emergency or dangerous situation that poses an immediate threat to the </w:t>
      </w:r>
      <w:r w:rsidR="0010772B">
        <w:t xml:space="preserve">NHSC community, (c) time and location of the incident, (d) guidance on specific action to take (e.g., shelter-in-place, evacuate), and (e) suspect description information, only if relevant and necessary.  In accordance with federal law, no name of or personally identifying information about the crime victim is allowed.  Depending on the situation, other information may be included in the Emergency Notification message.  To streamline the process and avoid delays, </w:t>
      </w:r>
      <w:r w:rsidR="0010772B">
        <w:lastRenderedPageBreak/>
        <w:t>NHSC has developed standardized script templates, based on various types of emergencies or dangerous situations, to serve as a reference guide for on-duty NHSC staff to issue Emergency Notifications to the campus community via the NHSC Alert system.  Additionally updates for each Emergency Notification will be issued when, and if, new information becomes available, until an Emergency Notification closure message is issued.  An Emergency Notification closure message will be issued when the emergency</w:t>
      </w:r>
      <w:r w:rsidR="002D17E8">
        <w:t xml:space="preserve"> or dangerous situation no longer poses an immediate threat, is under control, and/or the guidance provided in the Emergency Notification is no longer required.</w:t>
      </w:r>
    </w:p>
    <w:p w14:paraId="52ABEAA1" w14:textId="65B5F77C" w:rsidR="00A70445" w:rsidRDefault="002D17E8" w:rsidP="00AA41CD">
      <w:r>
        <w:t xml:space="preserve">Emergency Notifications will typically be disseminated by email and text, using the </w:t>
      </w:r>
      <w:r w:rsidR="00881D3F">
        <w:t>NHSC</w:t>
      </w:r>
      <w:r>
        <w:t xml:space="preserve">-Alert system.  Specifically, the system sends an email message to all campus email addresses as well as a cell phone text message to all students, staff, and faculty who have opted-in to receive such text messages.  In certain circumstances, as determined by the Emergency Notification issuer, notifications may be sent by email, text, and voice mail, using the </w:t>
      </w:r>
      <w:r w:rsidR="00881D3F">
        <w:t>NHSC</w:t>
      </w:r>
      <w:r>
        <w:t>-Alert system.  Additional methods of emergency communication may also be used, as determined on a case-by-case basis by the NHSC Management Team.  Other methods and systems include: a public speaker address system, NHSC website (</w:t>
      </w:r>
      <w:hyperlink r:id="rId20" w:history="1">
        <w:r w:rsidRPr="00F7105D">
          <w:rPr>
            <w:rStyle w:val="Hyperlink"/>
          </w:rPr>
          <w:t>www.nhsc.edu</w:t>
        </w:r>
      </w:hyperlink>
      <w:r>
        <w:t>), campus voice</w:t>
      </w:r>
      <w:r w:rsidR="00477392">
        <w:t>mail, E-list (an emergency list of campus emails), NCHS campus website, emails from the Office of the President, and radio stations.  In certain cases, information may be disseminated to the larger community by posting on the NHSC webpage, issuing a public information release, or using alternative distribution methods, determined on a case-by-case basis.</w:t>
      </w:r>
    </w:p>
    <w:p w14:paraId="05F8C719" w14:textId="087E05F3" w:rsidR="00477392" w:rsidRPr="000210E2" w:rsidRDefault="00477392" w:rsidP="000210E2">
      <w:pPr>
        <w:pStyle w:val="Heading1"/>
        <w:rPr>
          <w:rFonts w:asciiTheme="minorHAnsi" w:hAnsiTheme="minorHAnsi" w:cstheme="minorHAnsi"/>
          <w:sz w:val="32"/>
        </w:rPr>
      </w:pPr>
      <w:bookmarkStart w:id="37" w:name="_Toc209014391"/>
      <w:r w:rsidRPr="000210E2">
        <w:rPr>
          <w:rFonts w:asciiTheme="minorHAnsi" w:hAnsiTheme="minorHAnsi" w:cstheme="minorHAnsi"/>
          <w:sz w:val="32"/>
        </w:rPr>
        <w:t xml:space="preserve">9.0 </w:t>
      </w:r>
      <w:r w:rsidRPr="000210E2">
        <w:rPr>
          <w:rFonts w:asciiTheme="minorHAnsi" w:hAnsiTheme="minorHAnsi" w:cstheme="minorHAnsi"/>
          <w:sz w:val="32"/>
        </w:rPr>
        <w:tab/>
      </w:r>
      <w:r w:rsidR="00D15FCB">
        <w:rPr>
          <w:rFonts w:asciiTheme="minorHAnsi" w:hAnsiTheme="minorHAnsi" w:cstheme="minorHAnsi"/>
          <w:sz w:val="32"/>
        </w:rPr>
        <w:tab/>
      </w:r>
      <w:r w:rsidRPr="000210E2">
        <w:rPr>
          <w:rFonts w:asciiTheme="minorHAnsi" w:hAnsiTheme="minorHAnsi" w:cstheme="minorHAnsi"/>
          <w:sz w:val="32"/>
        </w:rPr>
        <w:t>Timely Warnings</w:t>
      </w:r>
      <w:bookmarkEnd w:id="37"/>
    </w:p>
    <w:p w14:paraId="439D6A6E" w14:textId="7F28718A" w:rsidR="00477392" w:rsidRDefault="00600088" w:rsidP="00AA41CD">
      <w:r>
        <w:t>To</w:t>
      </w:r>
      <w:r w:rsidR="00477392">
        <w:t xml:space="preserve"> help safeguard the NHSC community, to increase crime awareness, and to meet the Clery Act Timely Warning requirements, a NHSC campus community Timely Warning will be issued for a Clery Act-reportable crime that means the standard for issuance set forth below.  For the purposes of this section, a “Clery Act-reportable crime” is a Clery Act crime that occurred</w:t>
      </w:r>
      <w:r w:rsidR="00E55508">
        <w:t xml:space="preserve"> in Clery Act geography and was reported to the Campus Safety Department.  Issuance of a Timely Warning is not required based on the same circumstances, factors, and criteria as an Emergency Notification.  If NHSC implements the procedures for an Emergency Notification, it </w:t>
      </w:r>
      <w:r w:rsidR="00E55508">
        <w:lastRenderedPageBreak/>
        <w:t>may not issue a Timely Warning for the same incident/situation.  This decision will be made by the NHSC Management Team on a case-by-case basis.</w:t>
      </w:r>
    </w:p>
    <w:p w14:paraId="6E40A5B5" w14:textId="42E91E9A" w:rsidR="00922DE9" w:rsidRPr="000210E2" w:rsidRDefault="00E45998" w:rsidP="000210E2">
      <w:pPr>
        <w:pStyle w:val="Heading2"/>
        <w:rPr>
          <w:rFonts w:asciiTheme="minorHAnsi" w:hAnsiTheme="minorHAnsi" w:cstheme="minorHAnsi"/>
          <w:sz w:val="24"/>
          <w:szCs w:val="24"/>
        </w:rPr>
      </w:pPr>
      <w:bookmarkStart w:id="38" w:name="_Toc209014392"/>
      <w:r w:rsidRPr="000210E2">
        <w:rPr>
          <w:rFonts w:asciiTheme="minorHAnsi" w:hAnsiTheme="minorHAnsi" w:cstheme="minorHAnsi"/>
          <w:sz w:val="24"/>
          <w:szCs w:val="24"/>
        </w:rPr>
        <w:t>9.1</w:t>
      </w:r>
      <w:r w:rsidRPr="000210E2">
        <w:rPr>
          <w:rFonts w:asciiTheme="minorHAnsi" w:hAnsiTheme="minorHAnsi" w:cstheme="minorHAnsi"/>
          <w:sz w:val="24"/>
          <w:szCs w:val="24"/>
        </w:rPr>
        <w:tab/>
        <w:t>TIMELY WARNINGS POLICY AND PROCEDURES</w:t>
      </w:r>
      <w:bookmarkEnd w:id="38"/>
    </w:p>
    <w:p w14:paraId="511EE881" w14:textId="3C23460C" w:rsidR="00E45998" w:rsidRDefault="00E45998" w:rsidP="00AA41CD">
      <w:r>
        <w:t>All members of the campus community are encouraged to notify NHSC of an Clery Act crime, which includes homicide/non</w:t>
      </w:r>
      <w:r w:rsidR="00BB07FC">
        <w:t>-negligent manslaughter, manslaughter by negligence, sex offenses</w:t>
      </w:r>
      <w:r w:rsidR="007039B9">
        <w:t xml:space="preserve"> (rape, fondling, incest, and statutory rape), robbery, aggravated assault, burglary, motor vehicle theft, hate crimes, dating violence, domestic violence, and stalking.  Crimes can be reported to NHSC by dialing (701) 627-8052 (for all non-emergencies).</w:t>
      </w:r>
    </w:p>
    <w:p w14:paraId="18427C03" w14:textId="5A13CF78" w:rsidR="007039B9" w:rsidRDefault="007039B9" w:rsidP="00AA41CD">
      <w:r>
        <w:t xml:space="preserve">The Campus Safety </w:t>
      </w:r>
      <w:r w:rsidR="004D5E40">
        <w:t>Officer</w:t>
      </w:r>
      <w:r>
        <w:t xml:space="preserve"> (CSO) has the primary responsibility for issuing Timely Warnings on behalf of the </w:t>
      </w:r>
      <w:r w:rsidR="008210E5">
        <w:t>NHSC campus.  CSO will notify students and employees about certain crimes in a manner that is timely, withholds the names of victims as confidential, and aids in the prevention of similar crimes.  Although the Clery Act does not define</w:t>
      </w:r>
      <w:r w:rsidR="000960F3">
        <w:t xml:space="preserve"> the word “timely,” because the intent of a warning regarding a criminal incident(s) is to allow people to take precautions</w:t>
      </w:r>
      <w:r w:rsidR="00BD0DA4">
        <w:t xml:space="preserve"> for their personal safety, a Timely Warning for a Clery Act-reportable crime that rises to the level of requiring</w:t>
      </w:r>
      <w:r w:rsidR="00A55526">
        <w:t xml:space="preserve"> the issuance of a Timely Warning should be issued as soon as pertinent information about the crime is available.  Therefore, even if not all of the facts surrounding a criminal incident(s) are available, NHSC may issue a Timely Warning for </w:t>
      </w:r>
      <w:r w:rsidR="00214642">
        <w:t>a</w:t>
      </w:r>
      <w:r w:rsidR="00A55526">
        <w:t xml:space="preserve"> Clery Act-reportable crime that meets the criteria set forth below.</w:t>
      </w:r>
    </w:p>
    <w:p w14:paraId="25AE09F0" w14:textId="3A864780" w:rsidR="004C7EA9" w:rsidRPr="000210E2" w:rsidRDefault="004C7EA9" w:rsidP="000210E2">
      <w:pPr>
        <w:pStyle w:val="Heading2"/>
        <w:rPr>
          <w:rFonts w:asciiTheme="minorHAnsi" w:hAnsiTheme="minorHAnsi" w:cstheme="minorHAnsi"/>
          <w:sz w:val="24"/>
          <w:szCs w:val="24"/>
        </w:rPr>
      </w:pPr>
      <w:bookmarkStart w:id="39" w:name="_Toc209014393"/>
      <w:r w:rsidRPr="000210E2">
        <w:rPr>
          <w:rFonts w:asciiTheme="minorHAnsi" w:hAnsiTheme="minorHAnsi" w:cstheme="minorHAnsi"/>
          <w:sz w:val="24"/>
          <w:szCs w:val="24"/>
        </w:rPr>
        <w:t>9.2</w:t>
      </w:r>
      <w:r w:rsidRPr="000210E2">
        <w:rPr>
          <w:rFonts w:asciiTheme="minorHAnsi" w:hAnsiTheme="minorHAnsi" w:cstheme="minorHAnsi"/>
          <w:sz w:val="24"/>
          <w:szCs w:val="24"/>
        </w:rPr>
        <w:tab/>
        <w:t>DECISION TO ISSUE A TIMELY WARNING</w:t>
      </w:r>
      <w:bookmarkEnd w:id="39"/>
    </w:p>
    <w:p w14:paraId="7303892D" w14:textId="56463B1F" w:rsidR="00A90A46" w:rsidRDefault="00A90A46" w:rsidP="00AA41CD">
      <w:r>
        <w:t>A Timely Warning will typically be issued for any Clery Act</w:t>
      </w:r>
      <w:r w:rsidR="00F33B1D">
        <w:t>-reportable crime where such is reported to NHSC or to a Cam</w:t>
      </w:r>
      <w:r w:rsidR="006F76CF">
        <w:t>pus Security Authority (who in turn reports such crime in a timely manner to NHSC)</w:t>
      </w:r>
      <w:r w:rsidR="005B13A5">
        <w:t xml:space="preserve"> and the crime is considered by NHSC to represent a serious or continuing threat to students and employees at the time of the report.  The decision to issue a Timely Warning is made on a case-by-case basis, depending on the facts surrounding a Clery Act</w:t>
      </w:r>
      <w:r w:rsidR="00545563">
        <w:t>-reportable crime, and taking into account factors such as: the nature</w:t>
      </w:r>
      <w:r w:rsidR="008E7F01">
        <w:t xml:space="preserve"> of the crime, the continuing danger </w:t>
      </w:r>
      <w:r w:rsidR="00E11E17">
        <w:t>to the campus community, the possible risk of compromising</w:t>
      </w:r>
      <w:r w:rsidR="004B6E0E">
        <w:t xml:space="preserve"> law enforcement efforts, whether a suspect has been apprehended and/or arrested, whether ther</w:t>
      </w:r>
      <w:r w:rsidR="00005FE9">
        <w:t>e</w:t>
      </w:r>
      <w:r w:rsidR="004B6E0E">
        <w:t xml:space="preserve"> has been a pattern or </w:t>
      </w:r>
      <w:r w:rsidR="004B6E0E">
        <w:lastRenderedPageBreak/>
        <w:t>series of similar crime(s), and the potential risk of others</w:t>
      </w:r>
      <w:r w:rsidR="00005FE9">
        <w:t xml:space="preserve"> becoming a victim of similar crimes.  The decision-making authority to issue a Timely Warning is granted to NHSC</w:t>
      </w:r>
      <w:r w:rsidR="00CA6C99">
        <w:t xml:space="preserve">’s </w:t>
      </w:r>
      <w:r w:rsidR="003E0EB4">
        <w:t>Campus Safety Officer</w:t>
      </w:r>
      <w:r w:rsidR="00CA6C99">
        <w:t>.</w:t>
      </w:r>
    </w:p>
    <w:p w14:paraId="1904C9FC" w14:textId="7FD1DB0D" w:rsidR="00CA6C99" w:rsidRDefault="00CA6C99" w:rsidP="00AA41CD">
      <w:r>
        <w:t>The decision to issue a Timely Warning, and when to issue it, also takes into consideration</w:t>
      </w:r>
      <w:r w:rsidR="00A40FE8">
        <w:t xml:space="preserve"> the following circumstances.  If NHSC or other law enforcement agency apprehends the suspect(s) of a Clery Act-reportable crime and the serious or ongoing threat to students and employees of the college community</w:t>
      </w:r>
      <w:r w:rsidR="00C55E9E">
        <w:t xml:space="preserve"> has been mitigated by the apprehension o</w:t>
      </w:r>
      <w:r w:rsidR="009C7DB5">
        <w:t>r</w:t>
      </w:r>
      <w:r w:rsidR="00C55E9E">
        <w:t xml:space="preserve"> arrest of such suspect(s)</w:t>
      </w:r>
      <w:r w:rsidR="009C7DB5">
        <w:t>, or if it is otherwise determined by a member of the NHSC with Timely Warning decision</w:t>
      </w:r>
      <w:r w:rsidR="00E55319">
        <w:t>-</w:t>
      </w:r>
      <w:r w:rsidR="009C7DB5">
        <w:t>making authority</w:t>
      </w:r>
      <w:r w:rsidR="00E55319">
        <w:t xml:space="preserve"> that a serious or on-going threa</w:t>
      </w:r>
      <w:r w:rsidR="00D07115">
        <w:t>t</w:t>
      </w:r>
      <w:r w:rsidR="00E55319">
        <w:t xml:space="preserve"> does</w:t>
      </w:r>
      <w:r w:rsidR="00D07115">
        <w:t xml:space="preserve"> not exist, a Timely Warning may not be issued.  If NHSC was not notified of the Clery</w:t>
      </w:r>
      <w:r w:rsidR="000D298B">
        <w:t xml:space="preserve"> Act-reportable crime in a manner that would allow NHSC to issue a “timely” warning for the college community, A</w:t>
      </w:r>
      <w:r w:rsidR="00BB41BE">
        <w:t xml:space="preserve"> </w:t>
      </w:r>
      <w:r w:rsidR="000D298B">
        <w:t>Timely Warning may not be issued</w:t>
      </w:r>
      <w:r w:rsidR="00BB41BE">
        <w:t>.</w:t>
      </w:r>
      <w:r w:rsidR="00757348">
        <w:t xml:space="preserve">  This determination will be made on a case-by-case basis for each Clery Act-reportable</w:t>
      </w:r>
      <w:r w:rsidR="00C878FF">
        <w:t xml:space="preserve"> crime.</w:t>
      </w:r>
      <w:r w:rsidR="000D1D82">
        <w:t xml:space="preserve">  A general </w:t>
      </w:r>
      <w:r w:rsidR="00345403">
        <w:t>guideline for making this determination will take into consideration that a report of a Clery Act-reportable crime filed more than 10 days after the date of the alleged incident may not allow NHSC to issue a “timely” warning to the college community.  However, this 10-day general guideline</w:t>
      </w:r>
      <w:r w:rsidR="009D79C5">
        <w:t xml:space="preserve"> does not prevent a Timely Warning from being issued if other Timely Warning decision-making factors warrant issuing a Timely Warning</w:t>
      </w:r>
      <w:r w:rsidR="00997DE2">
        <w:t>.  This decision will be made on a case-by-case basis by a member of the Campus Safety Office with Timely Warning</w:t>
      </w:r>
      <w:r w:rsidR="009A6D46">
        <w:t xml:space="preserve"> decision-making authority</w:t>
      </w:r>
      <w:r w:rsidR="0092178B">
        <w:t xml:space="preserve">.  If it is determined by the </w:t>
      </w:r>
      <w:r w:rsidR="003E0EB4">
        <w:t>Campus Safety Officer</w:t>
      </w:r>
      <w:r w:rsidR="00FA109A">
        <w:t>, that issuing a Timely Warning will jeopardize a criminal investigation, certain information may be withheld from the Timely Warning, or the issuance of a Timely Warning will be delayed until the criminal investigation is no longer like</w:t>
      </w:r>
      <w:r w:rsidR="00300C30">
        <w:t>ly</w:t>
      </w:r>
      <w:r w:rsidR="00FA109A">
        <w:t xml:space="preserve"> to be</w:t>
      </w:r>
      <w:r w:rsidR="00300C30">
        <w:t xml:space="preserve"> jeopardized from the release of that information.  Consideration will be given to notifying a crime victim(s) before a Timely Warning is issued to the campus community.</w:t>
      </w:r>
    </w:p>
    <w:p w14:paraId="0CBCC51A" w14:textId="3DA25672" w:rsidR="00300C30" w:rsidRDefault="00300C30" w:rsidP="00AA41CD">
      <w:r>
        <w:t>Under the Clery Act</w:t>
      </w:r>
      <w:r w:rsidR="003D53C2">
        <w:t>, the issuance of a Timely Warning is not required for Clery Act crimes that are reported to a pastoral counselor or professional counselor who is practicing within the scope</w:t>
      </w:r>
      <w:r w:rsidR="0053105A">
        <w:t xml:space="preserve"> of his/her license, or such person who is otherwise determined to be exempt from reporting under the Clery Act.</w:t>
      </w:r>
    </w:p>
    <w:p w14:paraId="4C27E205" w14:textId="0F0F2861" w:rsidR="0053105A" w:rsidRPr="000210E2" w:rsidRDefault="0053105A" w:rsidP="000210E2">
      <w:pPr>
        <w:pStyle w:val="Heading2"/>
        <w:rPr>
          <w:rFonts w:asciiTheme="minorHAnsi" w:hAnsiTheme="minorHAnsi" w:cstheme="minorHAnsi"/>
          <w:sz w:val="24"/>
          <w:szCs w:val="24"/>
        </w:rPr>
      </w:pPr>
      <w:bookmarkStart w:id="40" w:name="_Toc209014394"/>
      <w:r w:rsidRPr="000210E2">
        <w:rPr>
          <w:rFonts w:asciiTheme="minorHAnsi" w:hAnsiTheme="minorHAnsi" w:cstheme="minorHAnsi"/>
          <w:sz w:val="24"/>
          <w:szCs w:val="24"/>
        </w:rPr>
        <w:lastRenderedPageBreak/>
        <w:t>9.3</w:t>
      </w:r>
      <w:r w:rsidRPr="000210E2">
        <w:rPr>
          <w:rFonts w:asciiTheme="minorHAnsi" w:hAnsiTheme="minorHAnsi" w:cstheme="minorHAnsi"/>
          <w:sz w:val="24"/>
          <w:szCs w:val="24"/>
        </w:rPr>
        <w:tab/>
        <w:t>ISSUING TIME</w:t>
      </w:r>
      <w:r w:rsidR="002E65EF" w:rsidRPr="000210E2">
        <w:rPr>
          <w:rFonts w:asciiTheme="minorHAnsi" w:hAnsiTheme="minorHAnsi" w:cstheme="minorHAnsi"/>
          <w:sz w:val="24"/>
          <w:szCs w:val="24"/>
        </w:rPr>
        <w:t>LY</w:t>
      </w:r>
      <w:r w:rsidRPr="000210E2">
        <w:rPr>
          <w:rFonts w:asciiTheme="minorHAnsi" w:hAnsiTheme="minorHAnsi" w:cstheme="minorHAnsi"/>
          <w:sz w:val="24"/>
          <w:szCs w:val="24"/>
        </w:rPr>
        <w:t xml:space="preserve"> WARNINGS</w:t>
      </w:r>
      <w:bookmarkEnd w:id="40"/>
    </w:p>
    <w:p w14:paraId="59C55944" w14:textId="4749C1B6" w:rsidR="002E65EF" w:rsidRDefault="002E65EF" w:rsidP="00AA41CD">
      <w:r>
        <w:t xml:space="preserve">During normal business hours (generally Monday – Friday, 8:00 a.m. </w:t>
      </w:r>
      <w:r w:rsidR="001C25E3">
        <w:t>– 5:00 p.m.), any member of NHSC who receives a report of a Clery Act crime that occurred on NHSC campus Clery Act geography</w:t>
      </w:r>
      <w:r w:rsidR="00B8690D">
        <w:t xml:space="preserve"> must bring said crime to the attention of one of the designated individuals who has Timely Warning decision-making authority (listed above in Section </w:t>
      </w:r>
      <w:r w:rsidR="0005188D">
        <w:t>9.2) as soon as feasibly possible.  After normal business hours, on weekends, and during holidays, any member of the Campus Safety/Maintenance Department who receives a report of a Clery Act crime that occurred on NHSC campus Clery Act geography</w:t>
      </w:r>
      <w:r w:rsidR="003400AC">
        <w:t xml:space="preserve"> must bring said crime to the attention of the Campus Security Officer on duty.  The person much provide notification of the reported Clery Act crime as soon as feasibly possible.  If the Campus Safety Officer is unavailable or cannot be reached after normal business hours, the following Campus Safety Office personnel must be contacted (in order) as soon as feasibly possible:  VP of Campus Services.</w:t>
      </w:r>
    </w:p>
    <w:p w14:paraId="25D7C25A" w14:textId="45FF9613" w:rsidR="000E2E8A" w:rsidRDefault="000E2E8A" w:rsidP="00AA41CD">
      <w:r>
        <w:t>Once a decision has been made to issue a Timely Warning, the On-Call member of the Maintenance</w:t>
      </w:r>
      <w:r w:rsidR="00600088">
        <w:t>/Safety</w:t>
      </w:r>
      <w:r>
        <w:t xml:space="preserve"> team will draft and initiate issuing the message.</w:t>
      </w:r>
      <w:r w:rsidR="005909FF">
        <w:t xml:space="preserve">  If these individuals are unavailable, another member of the NHSC Management Team will draft the Timely Warning.</w:t>
      </w:r>
    </w:p>
    <w:p w14:paraId="06159C77" w14:textId="380074A6" w:rsidR="005909FF" w:rsidRDefault="005909FF" w:rsidP="00AA41CD">
      <w:r>
        <w:t>The following items may be included in a Timely Warning, if a</w:t>
      </w:r>
      <w:r w:rsidR="00DA02EA">
        <w:t>vailable, unless issuing any of this information would risk compromising law enforcement efforts: (1) description of the incident (type of crime, date occurred, and general location, (2) physical description of the suspect, if relevant and deemed necessary, (3) possible connections to previously</w:t>
      </w:r>
      <w:r w:rsidR="00313398">
        <w:t xml:space="preserve"> reported incidents, (4) information about the victim if relevant (limited to college affiliation, if injuries were sustained</w:t>
      </w:r>
      <w:r w:rsidR="00930433">
        <w:t>, and gender; no crime victim name or individually identifying information for or about the crime</w:t>
      </w:r>
      <w:r w:rsidR="00FE4C77">
        <w:t xml:space="preserve"> victim is allowed per federal law), (5) information and tips that will promote safety and potentially aid in the prevention of similar crimes (i.e., crime prevention and safety tips), (6) date and time the Timely Warning was issued, and (7) NHSC contact information.</w:t>
      </w:r>
    </w:p>
    <w:p w14:paraId="67B8ED45" w14:textId="147660C1" w:rsidR="00FE4C77" w:rsidRDefault="00EE18BF" w:rsidP="00AA41CD">
      <w:r>
        <w:t xml:space="preserve">Timely Warnings will typically be sent by email, using the </w:t>
      </w:r>
      <w:r w:rsidR="00881D3F">
        <w:t>NHSC</w:t>
      </w:r>
      <w:r>
        <w:t xml:space="preserve">-Alert system.  In certain circumstances, as determined by the Timely Warning issuer, notifications may be sent by both email and text, using the </w:t>
      </w:r>
      <w:r w:rsidR="00881D3F">
        <w:t>NHSC</w:t>
      </w:r>
      <w:r w:rsidR="00D93279">
        <w:t xml:space="preserve">-Alert system.  Individuals who have access to the </w:t>
      </w:r>
      <w:r w:rsidR="00881D3F">
        <w:t>NHSC</w:t>
      </w:r>
      <w:r w:rsidR="00D93279">
        <w:t>-Alert system for issuing Timely Warnings include VP of Campus Service and Maintenance personnel.</w:t>
      </w:r>
    </w:p>
    <w:p w14:paraId="3C2CB0D5" w14:textId="2E52102C" w:rsidR="00D93279" w:rsidRDefault="00D660E7" w:rsidP="00AA41CD">
      <w:r>
        <w:lastRenderedPageBreak/>
        <w:t>Additional methods of distributing Timely Warnings may include; (1) physical postings in impacted areas,</w:t>
      </w:r>
      <w:r w:rsidR="0050534A">
        <w:t xml:space="preserve"> (2) physical postings in general/common areas of campus buildings, and (3) electronic postings on the NHSC webpage at </w:t>
      </w:r>
      <w:hyperlink r:id="rId21" w:history="1">
        <w:r w:rsidR="00F452DC" w:rsidRPr="00F7105D">
          <w:rPr>
            <w:rStyle w:val="Hyperlink"/>
          </w:rPr>
          <w:t>www.nhsc.edu</w:t>
        </w:r>
      </w:hyperlink>
      <w:r w:rsidR="00F452DC">
        <w:t xml:space="preserve">   It is the general policy of NHSC to post Timely Warnings on the NHSC webpage during the calendar year in which the Timely Warning is issued.  Past Timely Warnings will be archived on the NHSC webpage </w:t>
      </w:r>
      <w:r w:rsidR="00B057F1">
        <w:t>on</w:t>
      </w:r>
      <w:r w:rsidR="00F452DC">
        <w:t xml:space="preserve"> the calendar year in which they were reported, unless otherwise determined by members of the NHSC Management Team.</w:t>
      </w:r>
    </w:p>
    <w:p w14:paraId="6F75F8A3" w14:textId="2E8AC3D2" w:rsidR="000C5502" w:rsidRPr="000210E2" w:rsidRDefault="001350B7" w:rsidP="000210E2">
      <w:pPr>
        <w:pStyle w:val="Heading1"/>
        <w:rPr>
          <w:rFonts w:asciiTheme="minorHAnsi" w:hAnsiTheme="minorHAnsi" w:cstheme="minorHAnsi"/>
          <w:sz w:val="32"/>
        </w:rPr>
      </w:pPr>
      <w:bookmarkStart w:id="41" w:name="_Toc209014395"/>
      <w:r w:rsidRPr="000210E2">
        <w:rPr>
          <w:rFonts w:asciiTheme="minorHAnsi" w:hAnsiTheme="minorHAnsi" w:cstheme="minorHAnsi"/>
          <w:sz w:val="32"/>
        </w:rPr>
        <w:t>10.0</w:t>
      </w:r>
      <w:r w:rsidRPr="000210E2">
        <w:rPr>
          <w:rFonts w:asciiTheme="minorHAnsi" w:hAnsiTheme="minorHAnsi" w:cstheme="minorHAnsi"/>
          <w:sz w:val="32"/>
        </w:rPr>
        <w:tab/>
      </w:r>
      <w:r w:rsidR="00D15FCB">
        <w:rPr>
          <w:rFonts w:asciiTheme="minorHAnsi" w:hAnsiTheme="minorHAnsi" w:cstheme="minorHAnsi"/>
          <w:sz w:val="32"/>
        </w:rPr>
        <w:tab/>
      </w:r>
      <w:r w:rsidRPr="000210E2">
        <w:rPr>
          <w:rFonts w:asciiTheme="minorHAnsi" w:hAnsiTheme="minorHAnsi" w:cstheme="minorHAnsi"/>
          <w:sz w:val="32"/>
        </w:rPr>
        <w:t>Sexual</w:t>
      </w:r>
      <w:r w:rsidR="00D2496E" w:rsidRPr="000210E2">
        <w:rPr>
          <w:rFonts w:asciiTheme="minorHAnsi" w:hAnsiTheme="minorHAnsi" w:cstheme="minorHAnsi"/>
          <w:sz w:val="32"/>
        </w:rPr>
        <w:t xml:space="preserve"> Violence Prevention and Response</w:t>
      </w:r>
      <w:bookmarkEnd w:id="41"/>
    </w:p>
    <w:p w14:paraId="4B8B6F47" w14:textId="27894909" w:rsidR="00D2496E" w:rsidRDefault="003263BA" w:rsidP="00AA41CD">
      <w:r>
        <w:t xml:space="preserve">NHSC is committed to creating and maintaining a community dedicated to the advancement, application, and transmission of </w:t>
      </w:r>
      <w:r w:rsidR="00C94383">
        <w:t>knowledge and creative endeavors through academic exc</w:t>
      </w:r>
      <w:r w:rsidR="00252600">
        <w:t>ellence, where all individuals who participate</w:t>
      </w:r>
      <w:r w:rsidR="00221952">
        <w:t xml:space="preserve"> in college programs and activities can work and learn together in an atmosphere free of harassment, exploitation, or intimidation.  Every member of the college community should be aware that NHSC prohibits acts of sexual assault, relationship violence, and stalking that</w:t>
      </w:r>
      <w:r w:rsidR="00507358">
        <w:t xml:space="preserve"> violate law and/or NHSC policy.</w:t>
      </w:r>
    </w:p>
    <w:p w14:paraId="62229967" w14:textId="118B7740" w:rsidR="00507358" w:rsidRDefault="00507358" w:rsidP="00AA41CD">
      <w:r>
        <w:t>For purposes of this Annual Security Report, the term “Sexual Violence” includes incidents of sexual assault, relationship violence, and stalking of a sexual nature.  The term “Prohibited Conduct” includes sexual</w:t>
      </w:r>
      <w:r w:rsidR="00901878">
        <w:t xml:space="preserve"> harassment, sexual violence, and other conduct prohibited </w:t>
      </w:r>
      <w:r w:rsidR="00901878" w:rsidRPr="00101630">
        <w:rPr>
          <w:i/>
          <w:iCs/>
        </w:rPr>
        <w:t>b</w:t>
      </w:r>
      <w:r w:rsidR="00F7346B" w:rsidRPr="00101630">
        <w:rPr>
          <w:i/>
          <w:iCs/>
        </w:rPr>
        <w:t>y</w:t>
      </w:r>
      <w:r w:rsidR="00901878" w:rsidRPr="00101630">
        <w:rPr>
          <w:i/>
          <w:iCs/>
        </w:rPr>
        <w:t xml:space="preserve"> the NHSC Sexual Violence and Sexual Harassment Policy.</w:t>
      </w:r>
      <w:r w:rsidR="00F7346B" w:rsidRPr="00101630">
        <w:rPr>
          <w:i/>
          <w:iCs/>
        </w:rPr>
        <w:t xml:space="preserve">  The terms</w:t>
      </w:r>
      <w:r w:rsidR="00B20609" w:rsidRPr="00101630">
        <w:rPr>
          <w:i/>
          <w:iCs/>
        </w:rPr>
        <w:t xml:space="preserve"> “Respondent” and</w:t>
      </w:r>
      <w:r w:rsidR="00B20609">
        <w:t xml:space="preserve"> “Complainant” are used in this document when referring to reports made to the Title IX Office </w:t>
      </w:r>
      <w:r w:rsidR="003B2EA0">
        <w:t>and admin</w:t>
      </w:r>
      <w:r w:rsidR="0024063B">
        <w:t>istrative proceedings.  The terms “Suspect” and “Victim” are used in this document when referring to reports made to police and criminal proceedings.</w:t>
      </w:r>
    </w:p>
    <w:p w14:paraId="1D70611D" w14:textId="353BA508" w:rsidR="0024063B" w:rsidRDefault="0024063B" w:rsidP="00AA41CD">
      <w:r>
        <w:t>In compliance with state and federal laws, NHSC has adopted policies and procedures to prevent and respond to incidents of Sexual Violence involving members of our community.  NHSC will respond promptly and effectively to reports of Sexual Violence and will take appropriate action to prevent, to correct, and when necessary, to discipline behavior that violates this policy.</w:t>
      </w:r>
      <w:r w:rsidR="00C16443">
        <w:t xml:space="preserve">  Additionally, NHSC provides educational programs dedicate to preventing Sexual Violence.</w:t>
      </w:r>
    </w:p>
    <w:p w14:paraId="74835C20" w14:textId="4753347C" w:rsidR="00C16443" w:rsidRDefault="00C16443" w:rsidP="00AA41CD">
      <w:r>
        <w:lastRenderedPageBreak/>
        <w:t xml:space="preserve">On an annual basis, NHSC distributes written notification to students and employees that reaffirms </w:t>
      </w:r>
      <w:r w:rsidR="00667A06">
        <w:t xml:space="preserve">NHSC’s commitment to the </w:t>
      </w:r>
      <w:r w:rsidR="00667A06" w:rsidRPr="00667A06">
        <w:rPr>
          <w:i/>
          <w:iCs/>
        </w:rPr>
        <w:t>NHSC SVSH Policy</w:t>
      </w:r>
      <w:r w:rsidR="00667A06">
        <w:t xml:space="preserve">.  In this written notice, the President (or their designee) provides a link to </w:t>
      </w:r>
      <w:r w:rsidR="000925C0">
        <w:t>NHSC Title IX Office’s web page (</w:t>
      </w:r>
      <w:r w:rsidR="00394788">
        <w:rPr>
          <w:color w:val="0072C6" w:themeColor="accent1"/>
        </w:rPr>
        <w:t>www</w:t>
      </w:r>
      <w:r w:rsidR="000925C0" w:rsidRPr="0035021D">
        <w:rPr>
          <w:color w:val="0072C6" w:themeColor="accent1"/>
        </w:rPr>
        <w:t>.nhsc.edu</w:t>
      </w:r>
      <w:r w:rsidR="006616D2">
        <w:t>), which includes a list of contact information for campus and community support resources.  Information</w:t>
      </w:r>
      <w:r w:rsidR="007841C8">
        <w:t xml:space="preserve"> about campus and community resources is also included in documentation distributed to all </w:t>
      </w:r>
      <w:r w:rsidR="007841C8" w:rsidRPr="00CD074C">
        <w:t>impacted</w:t>
      </w:r>
      <w:r w:rsidR="007841C8">
        <w:t xml:space="preserve"> individuals, and to attendees of training sessions provided by the Title IX Office.</w:t>
      </w:r>
    </w:p>
    <w:p w14:paraId="1206B24B" w14:textId="24E1ABD0" w:rsidR="00CD074C" w:rsidRDefault="007841C8" w:rsidP="00AA41CD">
      <w:pPr>
        <w:rPr>
          <w:color w:val="0072C6" w:themeColor="accent1"/>
        </w:rPr>
      </w:pPr>
      <w:r w:rsidRPr="001450EB">
        <w:t>Th</w:t>
      </w:r>
      <w:r w:rsidR="00101630" w:rsidRPr="001450EB">
        <w:t xml:space="preserve">e </w:t>
      </w:r>
      <w:r w:rsidR="00101630" w:rsidRPr="001450EB">
        <w:rPr>
          <w:i/>
          <w:iCs/>
        </w:rPr>
        <w:t>NHSC SVSH Policy</w:t>
      </w:r>
      <w:r w:rsidR="00386116" w:rsidRPr="001450EB">
        <w:t xml:space="preserve"> and Response Procedures</w:t>
      </w:r>
      <w:r w:rsidR="00CD074C">
        <w:t>,</w:t>
      </w:r>
      <w:r w:rsidR="00EC6CB7">
        <w:t xml:space="preserve"> documents with information about impacted parties’ rights, options, and resources as well as information about education/training</w:t>
      </w:r>
      <w:r w:rsidR="00EF7F0B">
        <w:t>, risk reduction, and reporting options are available</w:t>
      </w:r>
      <w:r w:rsidR="00CD074C">
        <w:t xml:space="preserve"> in the student handbook</w:t>
      </w:r>
      <w:r w:rsidR="00B90856">
        <w:t xml:space="preserve"> at:</w:t>
      </w:r>
      <w:hyperlink r:id="rId22" w:history="1">
        <w:r w:rsidR="00B90856" w:rsidRPr="00090D53">
          <w:rPr>
            <w:rStyle w:val="Hyperlink"/>
          </w:rPr>
          <w:t xml:space="preserve"> </w:t>
        </w:r>
        <w:r w:rsidR="00090D53" w:rsidRPr="00090D53">
          <w:rPr>
            <w:rStyle w:val="Hyperlink"/>
          </w:rPr>
          <w:t>https://live-nhsc.pantheonsite.io/wp-content/uploads/2024/08/Student-Handbook-2024-25-FINAL.pdf</w:t>
        </w:r>
      </w:hyperlink>
      <w:r w:rsidR="00B90856">
        <w:t>.</w:t>
      </w:r>
      <w:r w:rsidR="00CD074C">
        <w:rPr>
          <w:color w:val="0072C6" w:themeColor="accent1"/>
        </w:rPr>
        <w:t xml:space="preserve"> </w:t>
      </w:r>
      <w:r w:rsidR="001450EB" w:rsidRPr="001450EB">
        <w:t>A</w:t>
      </w:r>
      <w:r w:rsidR="001450EB">
        <w:t xml:space="preserve"> Complaint/Appeals Form</w:t>
      </w:r>
      <w:r w:rsidR="00CD074C">
        <w:t xml:space="preserve"> is available at: </w:t>
      </w:r>
      <w:hyperlink r:id="rId23" w:history="1">
        <w:r w:rsidR="00487A6A" w:rsidRPr="00487A6A">
          <w:rPr>
            <w:rStyle w:val="Hyperlink"/>
          </w:rPr>
          <w:t>https://nhsc.edu/students/campus-security/</w:t>
        </w:r>
      </w:hyperlink>
      <w:r w:rsidR="00487A6A">
        <w:t>.</w:t>
      </w:r>
    </w:p>
    <w:p w14:paraId="072F5E0B" w14:textId="174075CF" w:rsidR="00E44F81" w:rsidRDefault="00E44F81" w:rsidP="00AA41CD">
      <w:r>
        <w:t>Note that on August 14, 2020, the U.S. Department of Education (DOE) issued new regulations that require colleges to follow a specific grievance process (DOE Grievance</w:t>
      </w:r>
      <w:r w:rsidR="00EC78E5">
        <w:t xml:space="preserve"> Process) in response to conduct covered by the regulations.  The </w:t>
      </w:r>
      <w:r w:rsidR="00EC78E5">
        <w:rPr>
          <w:i/>
          <w:iCs/>
        </w:rPr>
        <w:t>NHSC SVSH Policy</w:t>
      </w:r>
      <w:r w:rsidR="00EC78E5">
        <w:t xml:space="preserve"> is </w:t>
      </w:r>
      <w:r w:rsidR="00A70B96">
        <w:t xml:space="preserve">more expansive that the DOE regulations, so colleges will only apply the DOE Grievance Process when required, in response to DOE-Covered Conduct.  See </w:t>
      </w:r>
      <w:r w:rsidR="0079759E">
        <w:rPr>
          <w:i/>
          <w:iCs/>
        </w:rPr>
        <w:t>NHSC SVSH Policy</w:t>
      </w:r>
      <w:r w:rsidR="0079759E">
        <w:t xml:space="preserve"> for information about what is considered DOE-Covered Conduct and when </w:t>
      </w:r>
      <w:r w:rsidR="00F26E49">
        <w:t>NHSC will implement a DOE Grievance Process.</w:t>
      </w:r>
    </w:p>
    <w:p w14:paraId="1D04749D" w14:textId="4E572B9A" w:rsidR="00F26E49" w:rsidRDefault="00F26E49" w:rsidP="00AA41CD">
      <w:r>
        <w:t>NHSC’s Title IX Officer, Dr. Constance King</w:t>
      </w:r>
      <w:r w:rsidR="009738D0">
        <w:t xml:space="preserve"> </w:t>
      </w:r>
      <w:r>
        <w:t>Gottschall, is responsible for NHSC’s compliance with Title IX and</w:t>
      </w:r>
      <w:r w:rsidR="00A25C04">
        <w:t xml:space="preserve"> NHSC’s investigations of Sexual Violence.  Contact information for the Title IX Office: (701) 627-8015</w:t>
      </w:r>
      <w:r w:rsidR="00296065">
        <w:t xml:space="preserve">, </w:t>
      </w:r>
      <w:r w:rsidR="00D67A10">
        <w:rPr>
          <w:color w:val="0072C6" w:themeColor="accent1"/>
        </w:rPr>
        <w:t>Cfrank@nhsc.edu</w:t>
      </w:r>
      <w:r w:rsidR="00482E15">
        <w:t>.</w:t>
      </w:r>
      <w:r w:rsidR="00482E15">
        <w:tab/>
      </w:r>
    </w:p>
    <w:p w14:paraId="666A07C5" w14:textId="705536C0" w:rsidR="00482E15" w:rsidRPr="000210E2" w:rsidRDefault="00482E15" w:rsidP="000210E2">
      <w:pPr>
        <w:pStyle w:val="Heading2"/>
        <w:rPr>
          <w:rFonts w:asciiTheme="minorHAnsi" w:hAnsiTheme="minorHAnsi" w:cstheme="minorHAnsi"/>
          <w:sz w:val="24"/>
          <w:szCs w:val="24"/>
        </w:rPr>
      </w:pPr>
      <w:bookmarkStart w:id="42" w:name="_Toc209014396"/>
      <w:r w:rsidRPr="000210E2">
        <w:rPr>
          <w:rFonts w:asciiTheme="minorHAnsi" w:hAnsiTheme="minorHAnsi" w:cstheme="minorHAnsi"/>
          <w:sz w:val="24"/>
          <w:szCs w:val="24"/>
        </w:rPr>
        <w:t>10.1</w:t>
      </w:r>
      <w:r w:rsidRPr="000210E2">
        <w:rPr>
          <w:rFonts w:asciiTheme="minorHAnsi" w:hAnsiTheme="minorHAnsi" w:cstheme="minorHAnsi"/>
          <w:sz w:val="24"/>
          <w:szCs w:val="24"/>
        </w:rPr>
        <w:tab/>
        <w:t>DEFINITIONS OF VAWA CRIMES AND OTHER PROHIBITED CONDUCT</w:t>
      </w:r>
      <w:bookmarkEnd w:id="42"/>
    </w:p>
    <w:p w14:paraId="11C3406E" w14:textId="37B24F19" w:rsidR="00482E15" w:rsidRDefault="00482E15" w:rsidP="00AA41CD">
      <w:r>
        <w:t xml:space="preserve">The following are Violence Against Women Act (VAWA) crime definitions per the Clery Act and </w:t>
      </w:r>
      <w:r>
        <w:rPr>
          <w:i/>
          <w:iCs/>
        </w:rPr>
        <w:t>NHSC SVSH Policy</w:t>
      </w:r>
      <w:r w:rsidR="00A77961">
        <w:rPr>
          <w:i/>
          <w:iCs/>
        </w:rPr>
        <w:t xml:space="preserve">, </w:t>
      </w:r>
      <w:r w:rsidR="00A77961">
        <w:t xml:space="preserve">as well as additional definitions of Prohibited Conduct per the </w:t>
      </w:r>
      <w:r w:rsidR="000B0211">
        <w:rPr>
          <w:i/>
          <w:iCs/>
        </w:rPr>
        <w:t>NHSC SVSH</w:t>
      </w:r>
      <w:r w:rsidR="008E5AB2">
        <w:rPr>
          <w:i/>
          <w:iCs/>
        </w:rPr>
        <w:t xml:space="preserve"> Policy.</w:t>
      </w:r>
    </w:p>
    <w:p w14:paraId="34FE06B8" w14:textId="3218F53D" w:rsidR="008E5AB2" w:rsidRDefault="008E5AB2" w:rsidP="00AA41CD">
      <w:pPr>
        <w:rPr>
          <w:b/>
          <w:bCs/>
        </w:rPr>
      </w:pPr>
      <w:r>
        <w:rPr>
          <w:b/>
          <w:bCs/>
        </w:rPr>
        <w:t>Definitions per the Clery Act</w:t>
      </w:r>
    </w:p>
    <w:p w14:paraId="7F8C0289" w14:textId="03FCC42B" w:rsidR="00BE50C5" w:rsidRDefault="00BE50C5" w:rsidP="00BE50C5">
      <w:pPr>
        <w:rPr>
          <w:color w:val="0072C6" w:themeColor="accent1"/>
        </w:rPr>
      </w:pPr>
      <w:bookmarkStart w:id="43" w:name="_Hlk206424717"/>
      <w:r w:rsidRPr="00BE50C5">
        <w:rPr>
          <w:color w:val="0072C6" w:themeColor="accent1"/>
        </w:rPr>
        <w:lastRenderedPageBreak/>
        <w:t xml:space="preserve"> </w:t>
      </w:r>
      <w:bookmarkEnd w:id="43"/>
      <w:r>
        <w:rPr>
          <w:color w:val="0072C6" w:themeColor="accent1"/>
        </w:rPr>
        <w:t>Domestic violence:</w:t>
      </w:r>
    </w:p>
    <w:p w14:paraId="42AD7AE1" w14:textId="66D7E86E" w:rsidR="008E5AB2" w:rsidRDefault="008E5AB2" w:rsidP="00AA41CD">
      <w:r>
        <w:t xml:space="preserve"> </w:t>
      </w:r>
      <w:r w:rsidR="00BE50C5">
        <w:t xml:space="preserve">A </w:t>
      </w:r>
      <w:r>
        <w:t>felony or misde</w:t>
      </w:r>
      <w:r w:rsidR="00A1126E">
        <w:t>meanor crime of violence committed:</w:t>
      </w:r>
    </w:p>
    <w:p w14:paraId="1CC5CB8C" w14:textId="20CADB8F" w:rsidR="00A1126E" w:rsidRDefault="00A1126E" w:rsidP="006A64BD">
      <w:pPr>
        <w:pStyle w:val="ListParagraph"/>
        <w:numPr>
          <w:ilvl w:val="0"/>
          <w:numId w:val="30"/>
        </w:numPr>
      </w:pPr>
      <w:r>
        <w:t>By a current or former spouse or intimate partner of the victim,</w:t>
      </w:r>
    </w:p>
    <w:p w14:paraId="7097692C" w14:textId="7A98C17C" w:rsidR="00A1126E" w:rsidRDefault="00A1126E" w:rsidP="006A64BD">
      <w:pPr>
        <w:pStyle w:val="ListParagraph"/>
        <w:numPr>
          <w:ilvl w:val="0"/>
          <w:numId w:val="30"/>
        </w:numPr>
      </w:pPr>
      <w:r>
        <w:t>By a person with whom the victim shares a child in common,</w:t>
      </w:r>
    </w:p>
    <w:p w14:paraId="2D0E9384" w14:textId="67328C5F" w:rsidR="00A1126E" w:rsidRDefault="00A1126E" w:rsidP="006A64BD">
      <w:pPr>
        <w:pStyle w:val="ListParagraph"/>
        <w:numPr>
          <w:ilvl w:val="0"/>
          <w:numId w:val="30"/>
        </w:numPr>
      </w:pPr>
      <w:r>
        <w:t>By a person who is cohabitating with or has cohabitated</w:t>
      </w:r>
      <w:r w:rsidR="00B14572">
        <w:t xml:space="preserve"> with the victim as a spouse or intimate partner,</w:t>
      </w:r>
    </w:p>
    <w:p w14:paraId="47691F89" w14:textId="6C1BCBE1" w:rsidR="00B14572" w:rsidRDefault="00B14572" w:rsidP="006A64BD">
      <w:pPr>
        <w:pStyle w:val="ListParagraph"/>
        <w:numPr>
          <w:ilvl w:val="0"/>
          <w:numId w:val="30"/>
        </w:numPr>
      </w:pPr>
      <w:r>
        <w:t xml:space="preserve">By a person similarly situated to a spouse of the victim under the domestic or family violence laws of the jurisdiction in which the crime of violence occurred, or </w:t>
      </w:r>
    </w:p>
    <w:p w14:paraId="42FF9029" w14:textId="3B340227" w:rsidR="00B14572" w:rsidRDefault="00B14572" w:rsidP="006A64BD">
      <w:pPr>
        <w:pStyle w:val="ListParagraph"/>
        <w:numPr>
          <w:ilvl w:val="0"/>
          <w:numId w:val="30"/>
        </w:numPr>
      </w:pPr>
      <w:r>
        <w:t>By any other person against an adult or youth victim who is protected from that person’s acts under the domestic or family violence laws of the jurisdiction in which the crime of violence occurred.</w:t>
      </w:r>
    </w:p>
    <w:p w14:paraId="15B0449E" w14:textId="07F7A80E" w:rsidR="00B14572" w:rsidRDefault="008A3CF4" w:rsidP="00B14572">
      <w:pPr>
        <w:rPr>
          <w:color w:val="0072C6" w:themeColor="accent1"/>
        </w:rPr>
      </w:pPr>
      <w:bookmarkStart w:id="44" w:name="_Hlk206424646"/>
      <w:r>
        <w:rPr>
          <w:color w:val="0072C6" w:themeColor="accent1"/>
        </w:rPr>
        <w:t>Dating violence:</w:t>
      </w:r>
    </w:p>
    <w:bookmarkEnd w:id="44"/>
    <w:p w14:paraId="12D243A7" w14:textId="2AC1B8EA" w:rsidR="008A3CF4" w:rsidRDefault="008A3CF4" w:rsidP="00B14572">
      <w:r>
        <w:t>Violence committed by a person who is or has been in a social relationship of a romantic or intimate nature with the victim.</w:t>
      </w:r>
    </w:p>
    <w:p w14:paraId="7717B271" w14:textId="3142C254" w:rsidR="008A3CF4" w:rsidRDefault="008A3CF4" w:rsidP="006A64BD">
      <w:pPr>
        <w:pStyle w:val="ListParagraph"/>
        <w:numPr>
          <w:ilvl w:val="0"/>
          <w:numId w:val="31"/>
        </w:numPr>
      </w:pPr>
      <w:r>
        <w:t>The existence of such a relationship shall be determined based on the reporting party’s statement and with consideration of the length of the relationship, the type of relationship, and the frequency of interaction between the persons involved in the relationship.</w:t>
      </w:r>
    </w:p>
    <w:p w14:paraId="6A1BCA96" w14:textId="16DE750D" w:rsidR="008A3CF4" w:rsidRDefault="00990877" w:rsidP="006A64BD">
      <w:pPr>
        <w:pStyle w:val="ListParagraph"/>
        <w:numPr>
          <w:ilvl w:val="0"/>
          <w:numId w:val="31"/>
        </w:numPr>
      </w:pPr>
      <w:r>
        <w:t xml:space="preserve">For the purposes of this definition – </w:t>
      </w:r>
    </w:p>
    <w:p w14:paraId="18D8DC9C" w14:textId="0F91D0D1" w:rsidR="00990877" w:rsidRDefault="00990877" w:rsidP="006A64BD">
      <w:pPr>
        <w:pStyle w:val="ListParagraph"/>
        <w:numPr>
          <w:ilvl w:val="1"/>
          <w:numId w:val="31"/>
        </w:numPr>
      </w:pPr>
      <w:r>
        <w:t xml:space="preserve">Dating </w:t>
      </w:r>
      <w:r w:rsidR="009E1ED8">
        <w:t>v</w:t>
      </w:r>
      <w:r>
        <w:t>iolence includes, but is not limited to, sexual or physical abuse or the threat of such abus</w:t>
      </w:r>
      <w:r w:rsidR="005251EA">
        <w:t>e.</w:t>
      </w:r>
    </w:p>
    <w:p w14:paraId="417393DA" w14:textId="0C7F9A54" w:rsidR="00BE50C5" w:rsidRPr="00600088" w:rsidRDefault="005251EA" w:rsidP="00BE50C5">
      <w:pPr>
        <w:pStyle w:val="ListParagraph"/>
        <w:numPr>
          <w:ilvl w:val="1"/>
          <w:numId w:val="31"/>
        </w:numPr>
      </w:pPr>
      <w:r>
        <w:t>Dating violence does not include acts covered under the definition of domestic violence.</w:t>
      </w:r>
    </w:p>
    <w:p w14:paraId="5EF2AEAA" w14:textId="62DA3260" w:rsidR="009E1ED8" w:rsidRDefault="009E1ED8" w:rsidP="009E1ED8">
      <w:r w:rsidRPr="00C036BC">
        <w:rPr>
          <w:color w:val="0072C6" w:themeColor="accent1"/>
        </w:rPr>
        <w:t>Stalking</w:t>
      </w:r>
      <w:r w:rsidR="00C036BC" w:rsidRPr="00C036BC">
        <w:rPr>
          <w:color w:val="0072C6" w:themeColor="accent1"/>
        </w:rPr>
        <w:t>:</w:t>
      </w:r>
    </w:p>
    <w:p w14:paraId="659EA081" w14:textId="49E77E9F" w:rsidR="00C036BC" w:rsidRDefault="00C036BC" w:rsidP="009E1ED8">
      <w:r>
        <w:lastRenderedPageBreak/>
        <w:t>Engaging in a course of conduct directed at a specific person that would cause a reasonable person to –</w:t>
      </w:r>
    </w:p>
    <w:p w14:paraId="7BD2DD06" w14:textId="71008B46" w:rsidR="00C036BC" w:rsidRDefault="009F36D4" w:rsidP="006A64BD">
      <w:pPr>
        <w:pStyle w:val="ListParagraph"/>
        <w:numPr>
          <w:ilvl w:val="0"/>
          <w:numId w:val="32"/>
        </w:numPr>
      </w:pPr>
      <w:r>
        <w:t>Fear for the person’s safety or the safety of others; or</w:t>
      </w:r>
    </w:p>
    <w:p w14:paraId="43113291" w14:textId="172BD7C3" w:rsidR="009F36D4" w:rsidRDefault="009F36D4" w:rsidP="006A64BD">
      <w:pPr>
        <w:pStyle w:val="ListParagraph"/>
        <w:numPr>
          <w:ilvl w:val="0"/>
          <w:numId w:val="32"/>
        </w:numPr>
      </w:pPr>
      <w:r>
        <w:t>Suffer substantial emotional distress.</w:t>
      </w:r>
    </w:p>
    <w:p w14:paraId="2D795DF5" w14:textId="7EEB341B" w:rsidR="009F36D4" w:rsidRDefault="009F36D4" w:rsidP="006A64BD">
      <w:pPr>
        <w:pStyle w:val="ListParagraph"/>
        <w:numPr>
          <w:ilvl w:val="0"/>
          <w:numId w:val="32"/>
        </w:numPr>
      </w:pPr>
      <w:r>
        <w:t xml:space="preserve">For the purposes of this definition – </w:t>
      </w:r>
    </w:p>
    <w:p w14:paraId="39CCAEEE" w14:textId="3E0F9DCA" w:rsidR="009F36D4" w:rsidRDefault="003924D9" w:rsidP="006A64BD">
      <w:pPr>
        <w:pStyle w:val="ListParagraph"/>
        <w:numPr>
          <w:ilvl w:val="1"/>
          <w:numId w:val="32"/>
        </w:numPr>
      </w:pPr>
      <w:r>
        <w:rPr>
          <w:i/>
          <w:iCs/>
        </w:rPr>
        <w:t>Course of Conduct</w:t>
      </w:r>
      <w:r>
        <w:t xml:space="preserve"> means two or more acts, including but not limited to, acts in which the stalker directly, indirectly, or through</w:t>
      </w:r>
      <w:r w:rsidR="00D60108">
        <w:t xml:space="preserve"> third parties, by an action, method, device, or means, follows, monitors, observes, surveils, threatens, or communicat</w:t>
      </w:r>
      <w:r w:rsidR="00DA41EF">
        <w:t>es to or about a person, or interferes with a person’s property.</w:t>
      </w:r>
    </w:p>
    <w:p w14:paraId="433D331F" w14:textId="037AA4FF" w:rsidR="00DA41EF" w:rsidRDefault="00214642" w:rsidP="006A64BD">
      <w:pPr>
        <w:pStyle w:val="ListParagraph"/>
        <w:numPr>
          <w:ilvl w:val="1"/>
          <w:numId w:val="32"/>
        </w:numPr>
      </w:pPr>
      <w:r>
        <w:rPr>
          <w:i/>
          <w:iCs/>
        </w:rPr>
        <w:t>A reasonable</w:t>
      </w:r>
      <w:r w:rsidR="00DA41EF">
        <w:rPr>
          <w:i/>
          <w:iCs/>
        </w:rPr>
        <w:t xml:space="preserve"> person </w:t>
      </w:r>
      <w:r w:rsidR="00DA41EF">
        <w:t>means</w:t>
      </w:r>
      <w:r w:rsidR="0018468F">
        <w:t xml:space="preserve"> a reasonable person under similar circumstances and with similar identities to the victim.</w:t>
      </w:r>
    </w:p>
    <w:p w14:paraId="7984EF59" w14:textId="090EA7D0" w:rsidR="0018468F" w:rsidRDefault="0018468F" w:rsidP="006A64BD">
      <w:pPr>
        <w:pStyle w:val="ListParagraph"/>
        <w:numPr>
          <w:ilvl w:val="1"/>
          <w:numId w:val="32"/>
        </w:numPr>
      </w:pPr>
      <w:r>
        <w:rPr>
          <w:i/>
          <w:iCs/>
        </w:rPr>
        <w:t xml:space="preserve">Substantial emotional distress </w:t>
      </w:r>
      <w:r w:rsidR="00B70CFF">
        <w:t>means significant mental suffering or anguish that may, but does not necessar</w:t>
      </w:r>
      <w:r w:rsidR="00AC6CBF">
        <w:t>i</w:t>
      </w:r>
      <w:r w:rsidR="00B70CFF">
        <w:t>ly</w:t>
      </w:r>
      <w:r w:rsidR="00AC6CBF">
        <w:t>, require medical or other professional treatment or counseling.</w:t>
      </w:r>
    </w:p>
    <w:p w14:paraId="1E08C77F" w14:textId="48C55BBC" w:rsidR="001606FA" w:rsidRDefault="001606FA" w:rsidP="00AC6CBF">
      <w:pPr>
        <w:rPr>
          <w:color w:val="0072C6" w:themeColor="accent1"/>
        </w:rPr>
      </w:pPr>
      <w:r>
        <w:rPr>
          <w:color w:val="0072C6" w:themeColor="accent1"/>
        </w:rPr>
        <w:t xml:space="preserve">Sexual </w:t>
      </w:r>
      <w:r w:rsidR="00E20AAB">
        <w:rPr>
          <w:color w:val="0072C6" w:themeColor="accent1"/>
        </w:rPr>
        <w:t>a</w:t>
      </w:r>
      <w:r>
        <w:rPr>
          <w:color w:val="0072C6" w:themeColor="accent1"/>
        </w:rPr>
        <w:t>ssault</w:t>
      </w:r>
      <w:r w:rsidR="00E20AAB">
        <w:rPr>
          <w:color w:val="0072C6" w:themeColor="accent1"/>
        </w:rPr>
        <w:t>:</w:t>
      </w:r>
    </w:p>
    <w:p w14:paraId="24996FC9" w14:textId="4ACE25D6" w:rsidR="00E20AAB" w:rsidRDefault="00E20AAB" w:rsidP="00AC6CBF">
      <w:r>
        <w:t>An offense that meets the definition of Rape, Fondling, Incest, or Statutory Rape as used in the FBI’s Uniform</w:t>
      </w:r>
      <w:r w:rsidR="00714C7A">
        <w:t xml:space="preserve"> Crime Reporting program (</w:t>
      </w:r>
      <w:r w:rsidR="00C548BB">
        <w:t>U</w:t>
      </w:r>
      <w:r w:rsidR="00714C7A">
        <w:t>CR)</w:t>
      </w:r>
      <w:r w:rsidR="000C76BE">
        <w:t>.  Per the National Incident-Based Reporting System User Manual</w:t>
      </w:r>
      <w:r w:rsidR="00104109">
        <w:t xml:space="preserve"> from</w:t>
      </w:r>
      <w:r w:rsidR="00353F4C">
        <w:t xml:space="preserve"> the FBI </w:t>
      </w:r>
      <w:r w:rsidR="00C548BB">
        <w:t>U</w:t>
      </w:r>
      <w:r w:rsidR="00353F4C">
        <w:t>CR Program, a sex offense is any sexual act directed against another person, without consent of the victim, including instances where the victim is incapable of giving consent.</w:t>
      </w:r>
    </w:p>
    <w:p w14:paraId="296B8DDE" w14:textId="708E7325" w:rsidR="00786F19" w:rsidRDefault="00786F19" w:rsidP="006A64BD">
      <w:pPr>
        <w:pStyle w:val="ListParagraph"/>
        <w:numPr>
          <w:ilvl w:val="0"/>
          <w:numId w:val="33"/>
        </w:numPr>
      </w:pPr>
      <w:r>
        <w:t>Rape: Penetration, no matter how slight, of the vagina or anus with any body part or object, or oral penetration by a sex organ of another person, without the consent of the victim.  This definition includes any gender of victim or perpetrator.  This definition of Rape now includes “Sodomy” and “Sexual Assault with an Object” crime definitions.</w:t>
      </w:r>
    </w:p>
    <w:p w14:paraId="446C0B53" w14:textId="23E433ED" w:rsidR="00786F19" w:rsidRDefault="00786F19" w:rsidP="006A64BD">
      <w:pPr>
        <w:pStyle w:val="ListParagraph"/>
        <w:numPr>
          <w:ilvl w:val="0"/>
          <w:numId w:val="33"/>
        </w:numPr>
      </w:pPr>
      <w:r>
        <w:t xml:space="preserve">Fondling: </w:t>
      </w:r>
      <w:r w:rsidR="00696975">
        <w:t xml:space="preserve">The touching of the private body parts of another person for the purpose of sexual gratification, without the consent of the victim, including instances where the victim </w:t>
      </w:r>
      <w:r w:rsidR="00696975">
        <w:lastRenderedPageBreak/>
        <w:t>is incapable of giving consent because of his/her age or because of his/her temporary or permanent mental incapacity.</w:t>
      </w:r>
    </w:p>
    <w:p w14:paraId="74C71766" w14:textId="04A8CAB7" w:rsidR="00696975" w:rsidRDefault="00696975" w:rsidP="006A64BD">
      <w:pPr>
        <w:pStyle w:val="ListParagraph"/>
        <w:numPr>
          <w:ilvl w:val="0"/>
          <w:numId w:val="33"/>
        </w:numPr>
      </w:pPr>
      <w:r>
        <w:t>Incest: Sexual Intercourse between persons who are related to each other within the degrees wherein marriage is prohibited by law.</w:t>
      </w:r>
    </w:p>
    <w:p w14:paraId="7D7AF396" w14:textId="5A758A1F" w:rsidR="00696975" w:rsidRDefault="00A24DA1" w:rsidP="006A64BD">
      <w:pPr>
        <w:pStyle w:val="ListParagraph"/>
        <w:numPr>
          <w:ilvl w:val="0"/>
          <w:numId w:val="33"/>
        </w:numPr>
      </w:pPr>
      <w:r>
        <w:t>Statutory Rape: Sexual intercourse with a person who is under the statutory age of consent.</w:t>
      </w:r>
    </w:p>
    <w:p w14:paraId="7598EDF9" w14:textId="57859D82" w:rsidR="008B523F" w:rsidRDefault="008B523F" w:rsidP="008B523F">
      <w:pPr>
        <w:rPr>
          <w:b/>
          <w:bCs/>
        </w:rPr>
      </w:pPr>
      <w:r>
        <w:rPr>
          <w:b/>
          <w:bCs/>
        </w:rPr>
        <w:t>Definitions per the NHSC SVSH Policy</w:t>
      </w:r>
    </w:p>
    <w:p w14:paraId="41BC29AB" w14:textId="2BAAE119" w:rsidR="008B523F" w:rsidRDefault="008B523F" w:rsidP="008B523F">
      <w:pPr>
        <w:rPr>
          <w:color w:val="0072C6" w:themeColor="accent1"/>
        </w:rPr>
      </w:pPr>
      <w:r>
        <w:rPr>
          <w:color w:val="0072C6" w:themeColor="accent1"/>
        </w:rPr>
        <w:t>Relationship violence:</w:t>
      </w:r>
    </w:p>
    <w:p w14:paraId="327A452C" w14:textId="1CDB4A41" w:rsidR="008B523F" w:rsidRDefault="00D87BC9" w:rsidP="006A64BD">
      <w:pPr>
        <w:pStyle w:val="ListParagraph"/>
        <w:numPr>
          <w:ilvl w:val="0"/>
          <w:numId w:val="34"/>
        </w:numPr>
      </w:pPr>
      <w:r>
        <w:t>Relationship violence is:</w:t>
      </w:r>
    </w:p>
    <w:p w14:paraId="2F474DF6" w14:textId="0569DEDA" w:rsidR="00F320FA" w:rsidRDefault="00F320FA" w:rsidP="006A64BD">
      <w:pPr>
        <w:pStyle w:val="ListParagraph"/>
        <w:numPr>
          <w:ilvl w:val="1"/>
          <w:numId w:val="34"/>
        </w:numPr>
      </w:pPr>
      <w:r>
        <w:t>Physical violence toward the Complainant or a person who has a close re</w:t>
      </w:r>
      <w:r w:rsidR="00C06441">
        <w:t>lationship with the Complainant (such as a current or former spouse or intimate partner, a child or other relative), or</w:t>
      </w:r>
    </w:p>
    <w:p w14:paraId="3FE8FFAF" w14:textId="5118648D" w:rsidR="00C06441" w:rsidRDefault="006861C3" w:rsidP="006A64BD">
      <w:pPr>
        <w:pStyle w:val="ListParagraph"/>
        <w:numPr>
          <w:ilvl w:val="1"/>
          <w:numId w:val="34"/>
        </w:numPr>
      </w:pPr>
      <w:r>
        <w:t>Intentional or reckless physical or non-physical conduct toward the Complainant or someone who has a close relationship with the Complainant (such as a current or former spouse or intimate partner, a child, or other</w:t>
      </w:r>
      <w:r w:rsidR="00614BBF">
        <w:t xml:space="preserve"> </w:t>
      </w:r>
      <w:r w:rsidR="00952CC4">
        <w:t>relative) that would make a reasonable person in the Complainant’s position fear physical violence toward themselves or toward the person with whom they have the close relationship</w:t>
      </w:r>
      <w:r w:rsidR="00451607">
        <w:t>, that is by a person who is or has been in a spousal, romantic, or intimate relationship</w:t>
      </w:r>
      <w:r w:rsidR="001D536D">
        <w:t xml:space="preserve"> with the Complainant, or who shares a child with the Complainant, and that is part of a pattern of abusive behavior by the person toward the Complainant.</w:t>
      </w:r>
    </w:p>
    <w:p w14:paraId="18653831" w14:textId="1E11DCD8" w:rsidR="005B0BB4" w:rsidRDefault="005B0BB4" w:rsidP="006A64BD">
      <w:pPr>
        <w:pStyle w:val="ListParagraph"/>
        <w:numPr>
          <w:ilvl w:val="1"/>
          <w:numId w:val="34"/>
        </w:numPr>
      </w:pPr>
      <w:r>
        <w:t xml:space="preserve">Physical violence is physical conduct that intentionally or recklessly threatens </w:t>
      </w:r>
      <w:r w:rsidR="00BE50C5">
        <w:t>the health</w:t>
      </w:r>
      <w:r>
        <w:t xml:space="preserve"> and safety of the recipient of the behavior, including assault.</w:t>
      </w:r>
    </w:p>
    <w:p w14:paraId="67343DC3" w14:textId="39B18E41" w:rsidR="008D6A49" w:rsidRDefault="008D6A49" w:rsidP="006A64BD">
      <w:pPr>
        <w:pStyle w:val="ListParagraph"/>
        <w:numPr>
          <w:ilvl w:val="1"/>
          <w:numId w:val="34"/>
        </w:numPr>
      </w:pPr>
      <w:r>
        <w:t>Patterns of abusive behavior may consist of or include non-physical</w:t>
      </w:r>
      <w:r w:rsidR="00152796">
        <w:t xml:space="preserve"> tactics (such as threats, isolation, property destruction, abuse of pets, economic control, displaying weapons, degradation, or exploitation of a power imbalance).</w:t>
      </w:r>
    </w:p>
    <w:p w14:paraId="6B4A7D9E" w14:textId="495F0690" w:rsidR="002C25EA" w:rsidRDefault="002C25EA" w:rsidP="006A64BD">
      <w:pPr>
        <w:pStyle w:val="ListParagraph"/>
        <w:numPr>
          <w:ilvl w:val="1"/>
          <w:numId w:val="34"/>
        </w:numPr>
      </w:pPr>
      <w:r>
        <w:t xml:space="preserve">The nature of the relationship between the Complainant and Respondent is determined by the length and type of relationship, and the frequency of interaction </w:t>
      </w:r>
      <w:r>
        <w:lastRenderedPageBreak/>
        <w:t>between them.  Relationship violence includes both “dating violence” and “domestic violence.”</w:t>
      </w:r>
    </w:p>
    <w:p w14:paraId="50E98AB8" w14:textId="4EECC5C3" w:rsidR="002C25EA" w:rsidRDefault="002C25EA" w:rsidP="006A64BD">
      <w:pPr>
        <w:pStyle w:val="ListParagraph"/>
        <w:numPr>
          <w:ilvl w:val="1"/>
          <w:numId w:val="34"/>
        </w:numPr>
      </w:pPr>
      <w:r>
        <w:t xml:space="preserve">Conduct by a party in defense of self or another is not Relationship Violence under the </w:t>
      </w:r>
      <w:r>
        <w:rPr>
          <w:i/>
          <w:iCs/>
        </w:rPr>
        <w:t>NHSC</w:t>
      </w:r>
      <w:r>
        <w:t xml:space="preserve"> </w:t>
      </w:r>
      <w:r>
        <w:rPr>
          <w:i/>
          <w:iCs/>
        </w:rPr>
        <w:t>SVSH Policy</w:t>
      </w:r>
      <w:r w:rsidR="00EF5630">
        <w:t>.  If either party asserts that they acted in defense of self or another, the Title IX Officer will use all available, relevant evidence to evaluate the assertion, including reasonableness of the defensive actions and which party is the predominant aggressor.</w:t>
      </w:r>
    </w:p>
    <w:p w14:paraId="785C1CEA" w14:textId="6285FC01" w:rsidR="00EF5630" w:rsidRDefault="00814125" w:rsidP="00814125">
      <w:pPr>
        <w:rPr>
          <w:color w:val="0072C6" w:themeColor="accent1"/>
        </w:rPr>
      </w:pPr>
      <w:r>
        <w:rPr>
          <w:color w:val="0072C6" w:themeColor="accent1"/>
        </w:rPr>
        <w:t>Sexual assault:</w:t>
      </w:r>
    </w:p>
    <w:p w14:paraId="26E71A3F" w14:textId="5BD2AF6B" w:rsidR="00814125" w:rsidRDefault="00814125" w:rsidP="006A64BD">
      <w:pPr>
        <w:pStyle w:val="ListParagraph"/>
        <w:numPr>
          <w:ilvl w:val="0"/>
          <w:numId w:val="34"/>
        </w:numPr>
      </w:pPr>
      <w:r>
        <w:t>Sexual Assault – Penetration: Without the consent of the Complainant, penetration, no matter how slight, of:</w:t>
      </w:r>
    </w:p>
    <w:p w14:paraId="76265260" w14:textId="3D6FD9DA" w:rsidR="00814125" w:rsidRDefault="00814125" w:rsidP="006A64BD">
      <w:pPr>
        <w:pStyle w:val="ListParagraph"/>
        <w:numPr>
          <w:ilvl w:val="1"/>
          <w:numId w:val="34"/>
        </w:numPr>
      </w:pPr>
      <w:r>
        <w:t>The Complainant</w:t>
      </w:r>
      <w:r w:rsidR="002F0B2D">
        <w:t>’s mouth by penis or other genitalia; or</w:t>
      </w:r>
    </w:p>
    <w:p w14:paraId="7311204D" w14:textId="730D7A12" w:rsidR="002F0B2D" w:rsidRDefault="002F0B2D" w:rsidP="006A64BD">
      <w:pPr>
        <w:pStyle w:val="ListParagraph"/>
        <w:numPr>
          <w:ilvl w:val="1"/>
          <w:numId w:val="34"/>
        </w:numPr>
      </w:pPr>
      <w:r>
        <w:t>The Complainant’s vagina or anus by an</w:t>
      </w:r>
      <w:r w:rsidR="00C0412C">
        <w:t>y</w:t>
      </w:r>
      <w:r>
        <w:t xml:space="preserve"> body part or object.</w:t>
      </w:r>
    </w:p>
    <w:p w14:paraId="05157E5B" w14:textId="6A40B794" w:rsidR="002F0B2D" w:rsidRDefault="000F27C1" w:rsidP="006A64BD">
      <w:pPr>
        <w:pStyle w:val="ListParagraph"/>
        <w:numPr>
          <w:ilvl w:val="0"/>
          <w:numId w:val="34"/>
        </w:numPr>
      </w:pPr>
      <w:r>
        <w:t>Sexual Assault – Contact: Without the consent of the Complainant, intentionally</w:t>
      </w:r>
      <w:r w:rsidR="00C0412C">
        <w:t>:</w:t>
      </w:r>
    </w:p>
    <w:p w14:paraId="17CB6404" w14:textId="5B811D47" w:rsidR="00C0412C" w:rsidRDefault="009A6668" w:rsidP="006A64BD">
      <w:pPr>
        <w:pStyle w:val="ListParagraph"/>
        <w:numPr>
          <w:ilvl w:val="1"/>
          <w:numId w:val="34"/>
        </w:numPr>
      </w:pPr>
      <w:r>
        <w:t>Touching the Complainant’s intimate body part (genitals, anus, groin, breast, or buttocks);</w:t>
      </w:r>
    </w:p>
    <w:p w14:paraId="3ED311B4" w14:textId="137BD83A" w:rsidR="009A6668" w:rsidRDefault="009A6668" w:rsidP="006A64BD">
      <w:pPr>
        <w:pStyle w:val="ListParagraph"/>
        <w:numPr>
          <w:ilvl w:val="1"/>
          <w:numId w:val="34"/>
        </w:numPr>
      </w:pPr>
      <w:r>
        <w:t xml:space="preserve">Making the Complainant touch another </w:t>
      </w:r>
      <w:r w:rsidR="005E026F">
        <w:t>or themselves on any intimate body part; or</w:t>
      </w:r>
    </w:p>
    <w:p w14:paraId="05702AA0" w14:textId="6AFD716F" w:rsidR="005E026F" w:rsidRDefault="005E026F" w:rsidP="006A64BD">
      <w:pPr>
        <w:pStyle w:val="ListParagraph"/>
        <w:numPr>
          <w:ilvl w:val="1"/>
          <w:numId w:val="34"/>
        </w:numPr>
      </w:pPr>
      <w:r>
        <w:t>Touching the Complainant with one’s intimate body part whether the intimate body part is clothed or unclothed.</w:t>
      </w:r>
    </w:p>
    <w:p w14:paraId="468CA91A" w14:textId="4FCF8D52" w:rsidR="005E026F" w:rsidRDefault="005E026F" w:rsidP="005E026F">
      <w:r>
        <w:rPr>
          <w:b/>
          <w:bCs/>
        </w:rPr>
        <w:t xml:space="preserve">Note: </w:t>
      </w:r>
      <w:r>
        <w:t>This definition encompasses a broad spectrum of conduct, not all of which is sexual violence.  So, the Title IX Officer must sometimes determine whether an allegation should be charged as sexual violence or sexual harassment.</w:t>
      </w:r>
    </w:p>
    <w:p w14:paraId="79E5CBEA" w14:textId="4AB28B48" w:rsidR="007B6662" w:rsidRDefault="007B6662" w:rsidP="005E026F">
      <w:r>
        <w:t>Cond</w:t>
      </w:r>
      <w:r w:rsidR="00233E29">
        <w:t>u</w:t>
      </w:r>
      <w:r>
        <w:t>ct that meets the definition of both Sexual Assault – Contact and Sexual Assault- Pen</w:t>
      </w:r>
      <w:r w:rsidR="00A46A50">
        <w:t>e</w:t>
      </w:r>
      <w:r>
        <w:t>tration</w:t>
      </w:r>
      <w:r w:rsidR="00A46A50">
        <w:t xml:space="preserve"> will be charged as Sexual Assault – Penetration.</w:t>
      </w:r>
    </w:p>
    <w:p w14:paraId="591C8E60" w14:textId="33532619" w:rsidR="00A46A50" w:rsidRDefault="00A46A50" w:rsidP="005E026F">
      <w:r>
        <w:rPr>
          <w:b/>
          <w:bCs/>
        </w:rPr>
        <w:t>Note:</w:t>
      </w:r>
      <w:r>
        <w:t xml:space="preserve"> </w:t>
      </w:r>
      <w:r>
        <w:rPr>
          <w:i/>
          <w:iCs/>
        </w:rPr>
        <w:t xml:space="preserve">Sexual Assault – Penetration and Sexual Assault </w:t>
      </w:r>
      <w:r w:rsidR="007E60AA">
        <w:rPr>
          <w:i/>
          <w:iCs/>
        </w:rPr>
        <w:t>–</w:t>
      </w:r>
      <w:r>
        <w:rPr>
          <w:i/>
          <w:iCs/>
        </w:rPr>
        <w:t xml:space="preserve"> Contact</w:t>
      </w:r>
      <w:r w:rsidR="007E60AA">
        <w:t xml:space="preserve"> </w:t>
      </w:r>
      <w:r w:rsidR="00B057F1">
        <w:t>is</w:t>
      </w:r>
      <w:r w:rsidR="007E60AA">
        <w:t xml:space="preserve"> aggravated when they include the following:</w:t>
      </w:r>
    </w:p>
    <w:p w14:paraId="170B164C" w14:textId="618E4D85" w:rsidR="007E60AA" w:rsidRDefault="001A6A8B" w:rsidP="006A64BD">
      <w:pPr>
        <w:pStyle w:val="ListParagraph"/>
        <w:numPr>
          <w:ilvl w:val="0"/>
          <w:numId w:val="35"/>
        </w:numPr>
      </w:pPr>
      <w:r>
        <w:lastRenderedPageBreak/>
        <w:t>Overcoming the will of the Complainant by: force (the use of physical force or inducing reasonable fear of immediate or future body injury)</w:t>
      </w:r>
      <w:r w:rsidR="00CA653C">
        <w:t>; violence (the use of physical force to cause harm or injury); menace (a threat, statement, or act shoring intent to injure); duress (a direct or implied threat of force, violence, danger, hardship, or retribution</w:t>
      </w:r>
      <w:r w:rsidR="004C5C94">
        <w:t xml:space="preserve"> that is enough to cause reasonable person of ordinary sensitivity, taking into account all circumstances including age an</w:t>
      </w:r>
      <w:r w:rsidR="00C548BB">
        <w:t>d</w:t>
      </w:r>
      <w:r w:rsidR="004C5C94">
        <w:t xml:space="preserve"> </w:t>
      </w:r>
      <w:r w:rsidR="005E3DA1">
        <w:t>relationship (including a power imbalance), to do or submit to something that would not otherwise do); or deliberately causing the Complainant to be incapacitated</w:t>
      </w:r>
      <w:r w:rsidR="00042BD1">
        <w:t xml:space="preserve"> (for example, through drugs or alcohol);</w:t>
      </w:r>
    </w:p>
    <w:p w14:paraId="1011C252" w14:textId="17FD4DCE" w:rsidR="00042BD1" w:rsidRDefault="00042BD1" w:rsidP="006A64BD">
      <w:pPr>
        <w:pStyle w:val="ListParagraph"/>
        <w:numPr>
          <w:ilvl w:val="0"/>
          <w:numId w:val="35"/>
        </w:numPr>
      </w:pPr>
      <w:r>
        <w:t>Deliberately taking advantage of the Complainant’s incapacitation (including incapacitation that results from voluntary use of drugs or alcohol); or</w:t>
      </w:r>
    </w:p>
    <w:p w14:paraId="03F12726" w14:textId="1D3129D3" w:rsidR="000210E2" w:rsidRPr="00C548BB" w:rsidRDefault="00042BD1" w:rsidP="006A64BD">
      <w:pPr>
        <w:pStyle w:val="ListParagraph"/>
        <w:numPr>
          <w:ilvl w:val="0"/>
          <w:numId w:val="35"/>
        </w:numPr>
      </w:pPr>
      <w:r>
        <w:t>Recording, photographing, transmitting, or distributing intimate or sexual images of the Complainant without the Complainant’s prior knowledge and consent.</w:t>
      </w:r>
    </w:p>
    <w:p w14:paraId="2D7D9C89" w14:textId="472224F8" w:rsidR="00042BD1" w:rsidRDefault="00042BD1" w:rsidP="00042BD1">
      <w:r>
        <w:rPr>
          <w:color w:val="0072C6" w:themeColor="accent1"/>
        </w:rPr>
        <w:t>Stalking of a sexual nature:</w:t>
      </w:r>
    </w:p>
    <w:p w14:paraId="2344D25F" w14:textId="20D265BE" w:rsidR="00B046E5" w:rsidRDefault="00B046E5" w:rsidP="00042BD1">
      <w:r>
        <w:t xml:space="preserve">Repeated conduct directed at a Complainant (e.g., following, monitoring, observing, surveilling, threatening, communicating or interfering with property), of a sexual, romantic, or other sex-based nature or motivation, which would cause a reasonable person to fear for their safety, or </w:t>
      </w:r>
      <w:r w:rsidRPr="0093162B">
        <w:t xml:space="preserve">the safety of others, or to suffer substantial emotional distress.  Stalking that is </w:t>
      </w:r>
      <w:r w:rsidR="00A46E3C" w:rsidRPr="0093162B">
        <w:t>not sex-based is</w:t>
      </w:r>
      <w:r w:rsidR="00A46E3C">
        <w:t xml:space="preserve"> addressed by other NHSC policies including but not limited to the Student Conduct Code.</w:t>
      </w:r>
    </w:p>
    <w:p w14:paraId="4E2665FF" w14:textId="378B78F4" w:rsidR="00CE186F" w:rsidRDefault="00CE186F" w:rsidP="00042BD1">
      <w:pPr>
        <w:rPr>
          <w:color w:val="0072C6" w:themeColor="accent1"/>
        </w:rPr>
      </w:pPr>
      <w:r>
        <w:rPr>
          <w:color w:val="0072C6" w:themeColor="accent1"/>
        </w:rPr>
        <w:t>Other prohibited behavior:</w:t>
      </w:r>
    </w:p>
    <w:p w14:paraId="6AA93FBA" w14:textId="35FE0673" w:rsidR="00CE186F" w:rsidRDefault="00907FC4" w:rsidP="006A64BD">
      <w:pPr>
        <w:pStyle w:val="ListParagraph"/>
        <w:numPr>
          <w:ilvl w:val="0"/>
          <w:numId w:val="36"/>
        </w:numPr>
      </w:pPr>
      <w:r>
        <w:t>Invasions of Sexual Privacy</w:t>
      </w:r>
    </w:p>
    <w:p w14:paraId="55615273" w14:textId="3F382D98" w:rsidR="00907FC4" w:rsidRDefault="00907FC4" w:rsidP="006A64BD">
      <w:pPr>
        <w:pStyle w:val="ListParagraph"/>
        <w:numPr>
          <w:ilvl w:val="1"/>
          <w:numId w:val="36"/>
        </w:numPr>
      </w:pPr>
      <w:r>
        <w:t xml:space="preserve">Without a person’s consent, watching or enabling others to watch that person’s nudity or sexual acts in a place where that person has a reasonable expectation of </w:t>
      </w:r>
      <w:r w:rsidR="00600088">
        <w:t>privacy.</w:t>
      </w:r>
    </w:p>
    <w:p w14:paraId="0CAD472F" w14:textId="5AE30BFB" w:rsidR="00907FC4" w:rsidRDefault="00907FC4" w:rsidP="006A64BD">
      <w:pPr>
        <w:pStyle w:val="ListParagraph"/>
        <w:numPr>
          <w:ilvl w:val="1"/>
          <w:numId w:val="36"/>
        </w:numPr>
      </w:pPr>
      <w:r>
        <w:t>Without a person’s consent, making or attempting to make photographs (including videos) or audio recordings, or posting, transmitting, or distributing</w:t>
      </w:r>
      <w:r w:rsidR="00162EA6">
        <w:t xml:space="preserve"> such recorded material depicting that person’s nudity or sexual acts in a place where that person has a reasonable expectation</w:t>
      </w:r>
      <w:r w:rsidR="00A17E91">
        <w:t xml:space="preserve"> of privacy; or</w:t>
      </w:r>
    </w:p>
    <w:p w14:paraId="29DCFC73" w14:textId="7AD28B1C" w:rsidR="00A17E91" w:rsidRDefault="00A17E91" w:rsidP="006A64BD">
      <w:pPr>
        <w:pStyle w:val="ListParagraph"/>
        <w:numPr>
          <w:ilvl w:val="1"/>
          <w:numId w:val="36"/>
        </w:numPr>
      </w:pPr>
      <w:r>
        <w:lastRenderedPageBreak/>
        <w:t>Using depictions of nudity or sexual activity to extort something of value from a person.</w:t>
      </w:r>
    </w:p>
    <w:p w14:paraId="136F5925" w14:textId="6019718B" w:rsidR="00A17E91" w:rsidRDefault="006F2CA2" w:rsidP="006A64BD">
      <w:pPr>
        <w:pStyle w:val="ListParagraph"/>
        <w:numPr>
          <w:ilvl w:val="1"/>
          <w:numId w:val="36"/>
        </w:numPr>
      </w:pPr>
      <w:r>
        <w:t>Sexual intercourse with a person under the age of 18.</w:t>
      </w:r>
    </w:p>
    <w:p w14:paraId="06CC27A7" w14:textId="0A9D7B25" w:rsidR="006F2CA2" w:rsidRDefault="006F2CA2" w:rsidP="006A64BD">
      <w:pPr>
        <w:pStyle w:val="ListParagraph"/>
        <w:numPr>
          <w:ilvl w:val="1"/>
          <w:numId w:val="36"/>
        </w:numPr>
      </w:pPr>
      <w:r>
        <w:t>Exposing one’s genitals in a public place for the purpose of sexual gratification.</w:t>
      </w:r>
    </w:p>
    <w:p w14:paraId="02CFC0B0" w14:textId="7401327F" w:rsidR="006F2CA2" w:rsidRDefault="006F2CA2" w:rsidP="006A64BD">
      <w:pPr>
        <w:pStyle w:val="ListParagraph"/>
        <w:numPr>
          <w:ilvl w:val="1"/>
          <w:numId w:val="36"/>
        </w:numPr>
      </w:pPr>
      <w:r>
        <w:t xml:space="preserve">Failing to comply with the terms of a no-contact order, a suspension of any length, or any order of exclusion issued under the </w:t>
      </w:r>
      <w:r>
        <w:rPr>
          <w:i/>
          <w:iCs/>
        </w:rPr>
        <w:t>NHSC SVSH Policy</w:t>
      </w:r>
      <w:r w:rsidR="000A26D3">
        <w:t xml:space="preserve"> or other NHSC policy.</w:t>
      </w:r>
    </w:p>
    <w:p w14:paraId="7C98DBD5" w14:textId="07B2E285" w:rsidR="000A26D3" w:rsidRDefault="000A26D3" w:rsidP="006A64BD">
      <w:pPr>
        <w:pStyle w:val="ListParagraph"/>
        <w:numPr>
          <w:ilvl w:val="1"/>
          <w:numId w:val="36"/>
        </w:numPr>
      </w:pPr>
      <w:r>
        <w:t xml:space="preserve">Engaging in Retaliation.  Retaliation is an adverse action against a person based on their report or other disclosure of alleged Prohibited Conduct to an NHSC employee, or their participation in, refusal to participate in, or assistance with the investigation, reporting, remedial, or disciplinary processes provided for in the </w:t>
      </w:r>
      <w:r w:rsidR="0093162B">
        <w:rPr>
          <w:i/>
          <w:iCs/>
        </w:rPr>
        <w:t xml:space="preserve">NHSC SVSH Policy.  </w:t>
      </w:r>
      <w:r w:rsidR="0093162B">
        <w:t>An adverse action is conduct that would discourage a reasonable person from reporting Prohibited Conduct or</w:t>
      </w:r>
      <w:r w:rsidR="00750842">
        <w:t xml:space="preserve"> participating in a process provided for in the </w:t>
      </w:r>
      <w:r w:rsidR="00750842">
        <w:rPr>
          <w:i/>
          <w:iCs/>
        </w:rPr>
        <w:t>NHSC SVSH Policy</w:t>
      </w:r>
      <w:r w:rsidR="00303B33">
        <w:t>, such as threats, intimidation, harassment, discrimination, and coercion.  Good faith actions lawfully pursued in response to a report of Prohibited Conduct</w:t>
      </w:r>
      <w:r w:rsidR="00F436EE">
        <w:t xml:space="preserve"> (such as gathering evidence) are not, without more, retaliation</w:t>
      </w:r>
      <w:r w:rsidR="004D20D7">
        <w:t>.</w:t>
      </w:r>
    </w:p>
    <w:p w14:paraId="06114541" w14:textId="5325D6DF" w:rsidR="004D20D7" w:rsidRDefault="004D20D7" w:rsidP="004D20D7">
      <w:r>
        <w:rPr>
          <w:color w:val="0072C6" w:themeColor="accent1"/>
        </w:rPr>
        <w:t>Consent:</w:t>
      </w:r>
    </w:p>
    <w:p w14:paraId="602623DA" w14:textId="546950F7" w:rsidR="00845FF7" w:rsidRDefault="00845FF7" w:rsidP="004D20D7">
      <w:r>
        <w:t xml:space="preserve">Consent is </w:t>
      </w:r>
      <w:r>
        <w:rPr>
          <w:i/>
          <w:iCs/>
        </w:rPr>
        <w:t xml:space="preserve">affirmation, conscious, voluntary, and revocable.  </w:t>
      </w:r>
      <w:r>
        <w:t>Consent to sexual activity requires of each person an affirmation, conscious, and voluntary agreement to engage in sexual activity.</w:t>
      </w:r>
      <w:r w:rsidR="00CC2917">
        <w:t xml:space="preserve">  It is the responsibility of each person to ensure they have the affirmative consent of the other to engage in </w:t>
      </w:r>
      <w:r w:rsidR="00BD4D78">
        <w:t>sexual</w:t>
      </w:r>
      <w:r w:rsidR="00CC2917">
        <w:t xml:space="preserve"> activity.  Lack of protest, lack of resist</w:t>
      </w:r>
      <w:r w:rsidR="00CF23A6">
        <w:t>ance, or silence do not, alone, constitute consent.  Affirmative consent must be ongoing and can be revoked at any time during sexual activity.  The existence of a dating responsibility or past sexual relations between the Complainant and Respondent will never by itself</w:t>
      </w:r>
      <w:r w:rsidR="009066CC">
        <w:t xml:space="preserve"> be assumed to be an indicator of consent (nor will subsequent sexual relations or dating relationship alone suffice as evidence of consent to prior conduct).</w:t>
      </w:r>
    </w:p>
    <w:p w14:paraId="3188AFF4" w14:textId="1C47A332" w:rsidR="00CE553A" w:rsidRDefault="00CE553A" w:rsidP="004D20D7">
      <w:r>
        <w:lastRenderedPageBreak/>
        <w:t>The Respondent’s belief that the Complainant consented shall not provide a valid excuse unless the belief was actual and reasonable.  In making this determination, the fact finder will consider all of the facts and circumstances the Respondent</w:t>
      </w:r>
      <w:r w:rsidR="000C62E4">
        <w:t xml:space="preserve"> knew, or reasonably should have known, at the time.  In particular, the Respondent’s belief is not a</w:t>
      </w:r>
      <w:r w:rsidR="003A51A4">
        <w:t xml:space="preserve"> valid defense where:</w:t>
      </w:r>
    </w:p>
    <w:p w14:paraId="24F291C7" w14:textId="2EC6605D" w:rsidR="003A51A4" w:rsidRDefault="003A51A4" w:rsidP="006A64BD">
      <w:pPr>
        <w:pStyle w:val="ListParagraph"/>
        <w:numPr>
          <w:ilvl w:val="0"/>
          <w:numId w:val="36"/>
        </w:numPr>
      </w:pPr>
      <w:r>
        <w:t>The Respondent’s belief arose from the Respondent’s own intoxication or recklessness;</w:t>
      </w:r>
    </w:p>
    <w:p w14:paraId="3C9C2DB2" w14:textId="692F4E30" w:rsidR="003A51A4" w:rsidRDefault="003A51A4" w:rsidP="006A64BD">
      <w:pPr>
        <w:pStyle w:val="ListParagraph"/>
        <w:numPr>
          <w:ilvl w:val="0"/>
          <w:numId w:val="36"/>
        </w:numPr>
      </w:pPr>
      <w:r>
        <w:t>The Respondent did not take reasonable steps, in the circumstances</w:t>
      </w:r>
      <w:r w:rsidR="00B006D5">
        <w:t xml:space="preserve"> known to the Respondent at the time, to ascertain whether the Complainant affirmatively consented; or</w:t>
      </w:r>
    </w:p>
    <w:p w14:paraId="2444FE38" w14:textId="08226B87" w:rsidR="00B006D5" w:rsidRDefault="00B006D5" w:rsidP="006A64BD">
      <w:pPr>
        <w:pStyle w:val="ListParagraph"/>
        <w:numPr>
          <w:ilvl w:val="0"/>
          <w:numId w:val="36"/>
        </w:numPr>
      </w:pPr>
      <w:r>
        <w:t xml:space="preserve">The Respondent knew or </w:t>
      </w:r>
      <w:r w:rsidR="00FA1B78">
        <w:t>a reasonable</w:t>
      </w:r>
      <w:r>
        <w:t xml:space="preserve"> person should have </w:t>
      </w:r>
      <w:r w:rsidR="00D25482">
        <w:t>known</w:t>
      </w:r>
      <w:r>
        <w:t xml:space="preserve"> that the Complainant was unable to consent because the Complainant was incapacitated, in that the Complainant was:</w:t>
      </w:r>
    </w:p>
    <w:p w14:paraId="1E328A44" w14:textId="2EF8916E" w:rsidR="00B006D5" w:rsidRDefault="00B006D5" w:rsidP="006A64BD">
      <w:pPr>
        <w:pStyle w:val="ListParagraph"/>
        <w:numPr>
          <w:ilvl w:val="1"/>
          <w:numId w:val="36"/>
        </w:numPr>
      </w:pPr>
      <w:r>
        <w:t>Asleep or unconscious;</w:t>
      </w:r>
    </w:p>
    <w:p w14:paraId="5E4FD631" w14:textId="5DF03319" w:rsidR="00B006D5" w:rsidRDefault="00B006D5" w:rsidP="006A64BD">
      <w:pPr>
        <w:pStyle w:val="ListParagraph"/>
        <w:numPr>
          <w:ilvl w:val="1"/>
          <w:numId w:val="36"/>
        </w:numPr>
      </w:pPr>
      <w:r>
        <w:t>Unable to understand the fact, nature, or extent of the sexual activity due to the influence of drugs, alcohol, or medication; or</w:t>
      </w:r>
    </w:p>
    <w:p w14:paraId="0F9E1D84" w14:textId="19C6FDA1" w:rsidR="00B006D5" w:rsidRDefault="00B006D5" w:rsidP="006A64BD">
      <w:pPr>
        <w:pStyle w:val="ListParagraph"/>
        <w:numPr>
          <w:ilvl w:val="1"/>
          <w:numId w:val="36"/>
        </w:numPr>
      </w:pPr>
      <w:r>
        <w:t>Unable to communicate due to a mental or physical condition.</w:t>
      </w:r>
    </w:p>
    <w:p w14:paraId="5A96429F" w14:textId="7057A1D3" w:rsidR="00B006D5" w:rsidRDefault="00D657E0" w:rsidP="00D657E0">
      <w:r>
        <w:rPr>
          <w:b/>
          <w:bCs/>
        </w:rPr>
        <w:t>Note:</w:t>
      </w:r>
      <w:r>
        <w:t xml:space="preserve"> Incapacitation is a state beyond drunken</w:t>
      </w:r>
      <w:r w:rsidR="008F7395">
        <w:t xml:space="preserve">ness or intoxication.  A person is not necessarily incapacitated merely </w:t>
      </w:r>
      <w:r w:rsidR="00600088">
        <w:t>because of</w:t>
      </w:r>
      <w:r w:rsidR="008F7395">
        <w:t xml:space="preserve"> drinking, using drugs, or taking medication.</w:t>
      </w:r>
    </w:p>
    <w:p w14:paraId="01F46517" w14:textId="6413B965" w:rsidR="008F7395" w:rsidRDefault="008F7395" w:rsidP="00D657E0">
      <w:r>
        <w:t>(This definition of Consent is used to determine if the NHSC SVSH Policy has been violated).</w:t>
      </w:r>
    </w:p>
    <w:p w14:paraId="4AB5C72D" w14:textId="1812CB53" w:rsidR="008F7395" w:rsidRPr="000210E2" w:rsidRDefault="008F7395" w:rsidP="00D15FCB">
      <w:pPr>
        <w:pStyle w:val="Heading2"/>
        <w:ind w:left="720" w:hanging="720"/>
        <w:rPr>
          <w:rFonts w:asciiTheme="minorHAnsi" w:hAnsiTheme="minorHAnsi" w:cstheme="minorHAnsi"/>
          <w:sz w:val="24"/>
          <w:szCs w:val="24"/>
        </w:rPr>
      </w:pPr>
      <w:bookmarkStart w:id="45" w:name="_Toc209014397"/>
      <w:r w:rsidRPr="000210E2">
        <w:rPr>
          <w:rFonts w:asciiTheme="minorHAnsi" w:hAnsiTheme="minorHAnsi" w:cstheme="minorHAnsi"/>
          <w:sz w:val="24"/>
          <w:szCs w:val="24"/>
        </w:rPr>
        <w:t>10.2</w:t>
      </w:r>
      <w:r w:rsidRPr="000210E2">
        <w:rPr>
          <w:rFonts w:asciiTheme="minorHAnsi" w:hAnsiTheme="minorHAnsi" w:cstheme="minorHAnsi"/>
          <w:sz w:val="24"/>
          <w:szCs w:val="24"/>
        </w:rPr>
        <w:tab/>
      </w:r>
      <w:r w:rsidR="00BC09B0" w:rsidRPr="000210E2">
        <w:rPr>
          <w:rFonts w:asciiTheme="minorHAnsi" w:hAnsiTheme="minorHAnsi" w:cstheme="minorHAnsi"/>
          <w:sz w:val="24"/>
          <w:szCs w:val="24"/>
        </w:rPr>
        <w:t>EDUCATIONAL PROGRAMS AND CAMPAIGNS TO PROMOTE THE AWARENESS AND PREVENTION OF SEXUAL VIOLENCE</w:t>
      </w:r>
      <w:bookmarkEnd w:id="45"/>
    </w:p>
    <w:p w14:paraId="4213DC36" w14:textId="19C8E4F8" w:rsidR="00AB0EBD" w:rsidRDefault="00AB0EBD" w:rsidP="00D657E0">
      <w:r>
        <w:t>NHSC is committed to the prevention of Sexual Violence (sexual assault, relationship violence, and stalking) through regular and ongoing education</w:t>
      </w:r>
      <w:r w:rsidR="008C15D0">
        <w:t xml:space="preserve"> and awareness programs.  All NHSC students and employees are provided with programming, initiatives, strategies, and campaigns intended to create awareness and prevent and end Sexual Violence, and to train individuals on how to best respond</w:t>
      </w:r>
      <w:r w:rsidR="00D66237">
        <w:t xml:space="preserve"> to disclosures.  These programs are designed for the NHSC community, and many ongoing training modules are tailored for specific audiences in high-risk</w:t>
      </w:r>
      <w:r w:rsidR="00AB2256">
        <w:t xml:space="preserve"> groups and student leadership groups.  These programs are culturally relevant, inclusive of diverse </w:t>
      </w:r>
      <w:r w:rsidR="00AB2256">
        <w:lastRenderedPageBreak/>
        <w:t>communities and identities, sustainable, responsive to community needs, and utilize evidence-based and research-informed approaches to prevention education</w:t>
      </w:r>
      <w:r w:rsidR="00DD5341">
        <w:t>.</w:t>
      </w:r>
    </w:p>
    <w:p w14:paraId="42B453E5" w14:textId="2A53AE85" w:rsidR="00DD5341" w:rsidRDefault="00DD5341" w:rsidP="00D657E0">
      <w:r>
        <w:t>Incoming students</w:t>
      </w:r>
      <w:r w:rsidR="00427F41">
        <w:t xml:space="preserve"> and new employees receive primary prevention and awareness education as part of their transition</w:t>
      </w:r>
      <w:r w:rsidR="00FA194C">
        <w:t xml:space="preserve"> to campus.  Returning students</w:t>
      </w:r>
      <w:r w:rsidR="005D7A66">
        <w:t xml:space="preserve"> and current employees receive ongoing training and related programs throughout the year.  NHSC’s education and prevention programs reflect comprehensive, intentional, and integrated programming, initi</w:t>
      </w:r>
      <w:r w:rsidR="00706148">
        <w:t>atives, strategies, and campaigns</w:t>
      </w:r>
      <w:r w:rsidR="00574830">
        <w:t xml:space="preserve"> intended to end sexual assault, relationship violence, and stalking.  These programs are also design</w:t>
      </w:r>
      <w:r w:rsidR="003A7725">
        <w:t>ed to consider environmental risk and protective factors as they affect individuals, relationships</w:t>
      </w:r>
      <w:r w:rsidR="00BC7B2C">
        <w:t>, institutions, communities, and society.</w:t>
      </w:r>
    </w:p>
    <w:p w14:paraId="26D56D3A" w14:textId="278BFA3C" w:rsidR="00BC7B2C" w:rsidRDefault="00BC7B2C" w:rsidP="00D657E0">
      <w:r>
        <w:t>NHSC’s Campus Advocacy and Title IX Offices are primarily</w:t>
      </w:r>
      <w:r w:rsidR="00B342C6">
        <w:t xml:space="preserve"> responsible for the implementation of Sexual Violence educational programs and campaigns.  Title IX often collaborate with other departments (e.g., Orientation Programs, Alcohol and Drug Program, Student Health, Campus Safety Office, and Intercollegiate Athletics) to provide training for students and employees.</w:t>
      </w:r>
    </w:p>
    <w:p w14:paraId="1A13086A" w14:textId="3A22AAE3" w:rsidR="00B342C6" w:rsidRDefault="00B342C6" w:rsidP="00D657E0">
      <w:pPr>
        <w:rPr>
          <w:b/>
          <w:bCs/>
        </w:rPr>
      </w:pPr>
      <w:r w:rsidRPr="001450EB">
        <w:rPr>
          <w:b/>
          <w:bCs/>
        </w:rPr>
        <w:t>Sexual Violence Prevention and Response Education</w:t>
      </w:r>
    </w:p>
    <w:p w14:paraId="7F93A71F" w14:textId="0DE41772" w:rsidR="00B342C6" w:rsidRDefault="00B342C6" w:rsidP="00D657E0">
      <w:r>
        <w:t>Primary prevention education focuses on preventing violence before it begins by providing key messages to the entire campus community.  Secondary prevention education focuses on preventing violence before it occurs and focuses efforts toward “high-risk” communities that experience</w:t>
      </w:r>
      <w:r w:rsidR="007C2ACC">
        <w:t xml:space="preserve"> higher rates of Sexual Violence.  Tertiary prevention focuses on providing survivor resources and advocacy.  Ongoing prevention and awareness campaigns include programming, initiatives, and strategies that are sustained over time and focus on increasing understanding of topics relevant to ad skills for addressing Sexual Violence.</w:t>
      </w:r>
    </w:p>
    <w:p w14:paraId="5848A1E9" w14:textId="0C1C24F0" w:rsidR="007C2ACC" w:rsidRDefault="007C2ACC" w:rsidP="00D657E0">
      <w:r>
        <w:t>These campaigns use a range of strategies to reach and educate audiences throughout NHSC</w:t>
      </w:r>
      <w:r w:rsidR="00C561A0">
        <w:t xml:space="preserve"> about Sexual Violence and how it can be prevented.  Concepts covered in these initiatives include defining sexual</w:t>
      </w:r>
      <w:r w:rsidR="00591EEB">
        <w:t xml:space="preserve"> assault, relationship violence, and stalking; developing an understanding of communicating consent; building bystander intervention and risk reduction skills; and identifying</w:t>
      </w:r>
      <w:r w:rsidR="0018634D">
        <w:t xml:space="preserve"> and challenging social norms that normalize violence.</w:t>
      </w:r>
    </w:p>
    <w:p w14:paraId="590A1972" w14:textId="4ED9B717" w:rsidR="0018634D" w:rsidRPr="00EC45A3" w:rsidRDefault="0018634D" w:rsidP="00D657E0">
      <w:r w:rsidRPr="001450EB">
        <w:lastRenderedPageBreak/>
        <w:t>Bystander intervention consists of safe and positive options that may be carried out by an individual</w:t>
      </w:r>
      <w:r w:rsidR="000731DD" w:rsidRPr="001450EB">
        <w:t xml:space="preserve"> or individuals to prevent harm or intervene when there is risk of an occurrence of Sexual Violence.  It includes </w:t>
      </w:r>
      <w:r w:rsidR="00DD6DC0" w:rsidRPr="001450EB">
        <w:t>recognizing situations of pot</w:t>
      </w:r>
      <w:r w:rsidR="00635B19" w:rsidRPr="001450EB">
        <w:t>ential harm, understanding institutional structures and cultural conditions that facilitate violence, overcoming barriers to intervening, identifying safe and effective intervention options, and taking action to intervene.</w:t>
      </w:r>
    </w:p>
    <w:p w14:paraId="08D6906E" w14:textId="6DAF0773" w:rsidR="00635B19" w:rsidRDefault="00635B19" w:rsidP="00D657E0">
      <w:r w:rsidRPr="001450EB">
        <w:t>Risk reduction consists of options designed to decrease perpetration and bystander inaction and increase empowerment for victims in an effort to promote safety and help individuals and communities address</w:t>
      </w:r>
      <w:r w:rsidR="009327A5" w:rsidRPr="001450EB">
        <w:t xml:space="preserve"> conditions that facilitate violence.  Although risk reduction is an element of educational programming and environmental strategies at NHSC, </w:t>
      </w:r>
      <w:r w:rsidR="0040771E" w:rsidRPr="001450EB">
        <w:t>NHSC focuses on educating campus community members about the role each person plays in creating culture</w:t>
      </w:r>
      <w:r w:rsidR="00E300D7" w:rsidRPr="001450EB">
        <w:t xml:space="preserve"> change and preventing violence, rather than focusing on risk reduction strategies that can be taken by potential victims/survivors.</w:t>
      </w:r>
    </w:p>
    <w:p w14:paraId="016D7E2C" w14:textId="68FB4BB3" w:rsidR="00E300D7" w:rsidRDefault="00E300D7" w:rsidP="00D657E0">
      <w:r>
        <w:t>College staff and faculty are provided with education and training focused on increasing their understanding of Sexual Violence, reporting responsibilit</w:t>
      </w:r>
      <w:r w:rsidR="00536BB8">
        <w:t xml:space="preserve">ies, trauma, campus resources, and how to respond to disclosures of prohibited behavior, as well as information regarding NHSC’s investigative and disciplinary procedures for reports of Sexual </w:t>
      </w:r>
      <w:r w:rsidR="00CE0C29">
        <w:t>Violence.  Specifically, staff and faculty are taught trauma-informed ways to support someone who discloses to them, connect a survivor with confidential advocacy services, and fulfill their mandatory reporting obligations.</w:t>
      </w:r>
    </w:p>
    <w:p w14:paraId="258801C9" w14:textId="3248911B" w:rsidR="00C42D42" w:rsidRDefault="00C42D42" w:rsidP="00D657E0">
      <w:pPr>
        <w:rPr>
          <w:b/>
          <w:bCs/>
        </w:rPr>
      </w:pPr>
      <w:r>
        <w:rPr>
          <w:b/>
          <w:bCs/>
        </w:rPr>
        <w:t>College Curriculum</w:t>
      </w:r>
    </w:p>
    <w:p w14:paraId="2B1AC359" w14:textId="5A4C01E1" w:rsidR="00C42D42" w:rsidRDefault="00C42D42" w:rsidP="00D657E0">
      <w:r>
        <w:t>The college curriculum is tailored to each audience, educates our community about Sexual Violence, how to prevent it, the role</w:t>
      </w:r>
      <w:r w:rsidR="0041028F">
        <w:t xml:space="preserve"> of intervention, and available resources.  Primary and ongoing</w:t>
      </w:r>
      <w:r w:rsidR="00B96608">
        <w:t xml:space="preserve"> education for students and employees includes the followin</w:t>
      </w:r>
      <w:r w:rsidR="0027688B">
        <w:t>g</w:t>
      </w:r>
      <w:r w:rsidR="00B96608">
        <w:t xml:space="preserve"> information:</w:t>
      </w:r>
    </w:p>
    <w:p w14:paraId="27D7C01A" w14:textId="51F7DBD0" w:rsidR="0027688B" w:rsidRDefault="0027688B" w:rsidP="006A64BD">
      <w:pPr>
        <w:pStyle w:val="ListParagraph"/>
        <w:numPr>
          <w:ilvl w:val="0"/>
          <w:numId w:val="37"/>
        </w:numPr>
      </w:pPr>
      <w:r>
        <w:t xml:space="preserve">A clear statement that NHSC identifies sexual assault, relationship violence, and stalking as Prohibited Conduct, as those </w:t>
      </w:r>
      <w:r w:rsidR="00EE65A6">
        <w:t>terms are defined by the Clery Act.</w:t>
      </w:r>
    </w:p>
    <w:p w14:paraId="42EAE504" w14:textId="0BE7C70E" w:rsidR="00EE65A6" w:rsidRDefault="00EE65A6" w:rsidP="006A64BD">
      <w:pPr>
        <w:pStyle w:val="ListParagraph"/>
        <w:numPr>
          <w:ilvl w:val="0"/>
          <w:numId w:val="37"/>
        </w:numPr>
      </w:pPr>
      <w:r>
        <w:lastRenderedPageBreak/>
        <w:t xml:space="preserve">Definitions of sexual assault, relationship violence, and stalking, as defined in the local jurisdiction and in the </w:t>
      </w:r>
      <w:r w:rsidRPr="00C2605C">
        <w:rPr>
          <w:i/>
          <w:iCs/>
        </w:rPr>
        <w:t>NHSC SVSH Policy</w:t>
      </w:r>
      <w:r w:rsidR="00EA4CE1">
        <w:t>, as well as examples of behaviors that constitute such offenses.</w:t>
      </w:r>
    </w:p>
    <w:p w14:paraId="7E85E763" w14:textId="77777777" w:rsidR="00C2605C" w:rsidRPr="00C2605C" w:rsidRDefault="00EA4CE1" w:rsidP="006A64BD">
      <w:pPr>
        <w:pStyle w:val="ListParagraph"/>
        <w:numPr>
          <w:ilvl w:val="0"/>
          <w:numId w:val="37"/>
        </w:numPr>
      </w:pPr>
      <w:r>
        <w:t xml:space="preserve">Definition of consent in reference to sexual activity, as that term is defined in the local jurisdiction and in the </w:t>
      </w:r>
      <w:r w:rsidR="00C2605C">
        <w:rPr>
          <w:i/>
          <w:iCs/>
        </w:rPr>
        <w:t>NHSC SVSH Policy.</w:t>
      </w:r>
    </w:p>
    <w:p w14:paraId="67085FB5" w14:textId="1F02F7FF" w:rsidR="00194378" w:rsidRDefault="00194378" w:rsidP="006A64BD">
      <w:pPr>
        <w:pStyle w:val="ListParagraph"/>
        <w:numPr>
          <w:ilvl w:val="0"/>
          <w:numId w:val="37"/>
        </w:numPr>
      </w:pPr>
      <w:r>
        <w:t xml:space="preserve">Social norms, including the attitudes and beliefs that </w:t>
      </w:r>
      <w:r w:rsidR="00600088">
        <w:t>normalize</w:t>
      </w:r>
      <w:r>
        <w:t xml:space="preserve"> violence.</w:t>
      </w:r>
    </w:p>
    <w:p w14:paraId="44E10CCC" w14:textId="0BFBE2DF" w:rsidR="00B96608" w:rsidRDefault="00194378" w:rsidP="006A64BD">
      <w:pPr>
        <w:pStyle w:val="ListParagraph"/>
        <w:numPr>
          <w:ilvl w:val="0"/>
          <w:numId w:val="37"/>
        </w:numPr>
      </w:pPr>
      <w:r>
        <w:t>Safe and positive options for bystander intervention that may be carried out by an individual</w:t>
      </w:r>
      <w:r w:rsidR="005D1B81">
        <w:t xml:space="preserve"> to prevent harm or intervene when there is risk of Sexual Violence against a person other than the bystander.</w:t>
      </w:r>
      <w:r w:rsidR="00C2605C">
        <w:rPr>
          <w:i/>
          <w:iCs/>
        </w:rPr>
        <w:t xml:space="preserve"> </w:t>
      </w:r>
    </w:p>
    <w:p w14:paraId="52F2628D" w14:textId="714C120C" w:rsidR="00992463" w:rsidRDefault="00690B68" w:rsidP="006A64BD">
      <w:pPr>
        <w:pStyle w:val="ListParagraph"/>
        <w:numPr>
          <w:ilvl w:val="0"/>
          <w:numId w:val="37"/>
        </w:numPr>
      </w:pPr>
      <w:r>
        <w:t>Information on risk reduction so that students and employees may recognize signs of abusive behavior and understand how to avoid potential attacks.</w:t>
      </w:r>
    </w:p>
    <w:p w14:paraId="2B7B9EC2" w14:textId="45782D85" w:rsidR="00690B68" w:rsidRDefault="00690B68" w:rsidP="006A64BD">
      <w:pPr>
        <w:pStyle w:val="ListParagraph"/>
        <w:numPr>
          <w:ilvl w:val="0"/>
          <w:numId w:val="37"/>
        </w:numPr>
      </w:pPr>
      <w:r>
        <w:t xml:space="preserve">How to respond to Sexual Violence using methods that acknowledge the impact of violence and trauma on survivor’s lives.  </w:t>
      </w:r>
    </w:p>
    <w:p w14:paraId="2900E712" w14:textId="336437EE" w:rsidR="00690B68" w:rsidRDefault="00690B68" w:rsidP="006A64BD">
      <w:pPr>
        <w:pStyle w:val="ListParagraph"/>
        <w:numPr>
          <w:ilvl w:val="0"/>
          <w:numId w:val="37"/>
        </w:numPr>
      </w:pPr>
      <w:r>
        <w:t>Information about the procedures utilized when prohibited behavior is reported and the subsequent investigatory and disciplinary</w:t>
      </w:r>
      <w:r w:rsidR="007E7350">
        <w:t xml:space="preserve"> proceedings involved.</w:t>
      </w:r>
    </w:p>
    <w:p w14:paraId="0AC36AE1" w14:textId="7AA1EDE5" w:rsidR="007E7350" w:rsidRDefault="007E7350" w:rsidP="006A64BD">
      <w:pPr>
        <w:pStyle w:val="ListParagraph"/>
        <w:numPr>
          <w:ilvl w:val="0"/>
          <w:numId w:val="37"/>
        </w:numPr>
      </w:pPr>
      <w:r>
        <w:t xml:space="preserve">Local </w:t>
      </w:r>
      <w:r w:rsidRPr="007368D2">
        <w:t>resources</w:t>
      </w:r>
      <w:r>
        <w:t>, including confidential support for survivors of Sexual Violence and appropriate services for those accused of Sexual Violence</w:t>
      </w:r>
      <w:r w:rsidR="00A05491">
        <w:t>.</w:t>
      </w:r>
    </w:p>
    <w:p w14:paraId="25F91E46" w14:textId="7A55A00D" w:rsidR="00A05491" w:rsidRDefault="00A05491" w:rsidP="006A64BD">
      <w:pPr>
        <w:pStyle w:val="ListParagraph"/>
        <w:numPr>
          <w:ilvl w:val="0"/>
          <w:numId w:val="37"/>
        </w:numPr>
      </w:pPr>
      <w:r>
        <w:t>Rights and options for reporting Sexual Violence.</w:t>
      </w:r>
    </w:p>
    <w:p w14:paraId="49C87828" w14:textId="7A878C38" w:rsidR="00A05491" w:rsidRDefault="00A05491" w:rsidP="00A05491">
      <w:pPr>
        <w:rPr>
          <w:b/>
          <w:bCs/>
        </w:rPr>
      </w:pPr>
      <w:r>
        <w:rPr>
          <w:b/>
          <w:bCs/>
        </w:rPr>
        <w:t>Primary Educational Programs and Campaigns</w:t>
      </w:r>
    </w:p>
    <w:p w14:paraId="59E40877" w14:textId="6D7DC9D0" w:rsidR="00A05491" w:rsidRDefault="00A05491" w:rsidP="00A05491">
      <w:r w:rsidRPr="001450EB">
        <w:t>Sexual Violence awareness and prevention training is mandatory for all incoming students (freshmen and transfer students), and new employees.</w:t>
      </w:r>
    </w:p>
    <w:p w14:paraId="5407A93A" w14:textId="63255FB7" w:rsidR="00A05491" w:rsidRDefault="00C23B53" w:rsidP="00A05491">
      <w:r>
        <w:t>NHSC utilizes varied teaching methods that include research-informed and evidence-based curricula with multiple learning opportunities.  This ensures that students and employees</w:t>
      </w:r>
      <w:r w:rsidR="007368D2">
        <w:t xml:space="preserve"> have several exposures to the training content </w:t>
      </w:r>
      <w:r w:rsidR="00600088">
        <w:t>to</w:t>
      </w:r>
      <w:r w:rsidR="007368D2">
        <w:t xml:space="preserve"> improve educational outcomes.  The methods include written materials, and in-person education and training sessions.</w:t>
      </w:r>
    </w:p>
    <w:p w14:paraId="262DD3BC" w14:textId="6878DBAE" w:rsidR="007368D2" w:rsidRDefault="007368D2" w:rsidP="00A05491">
      <w:pPr>
        <w:rPr>
          <w:color w:val="0072C6" w:themeColor="accent1"/>
        </w:rPr>
      </w:pPr>
      <w:r>
        <w:rPr>
          <w:color w:val="0072C6" w:themeColor="accent1"/>
        </w:rPr>
        <w:t>Primary education for students:</w:t>
      </w:r>
    </w:p>
    <w:p w14:paraId="694F1E37" w14:textId="6749C5F4" w:rsidR="007368D2" w:rsidRDefault="007368D2" w:rsidP="00A05491">
      <w:r>
        <w:lastRenderedPageBreak/>
        <w:t xml:space="preserve">All incoming undergraduate students receive mandatory prevention education.  New freshmen and transfer students are required to attend a </w:t>
      </w:r>
      <w:r w:rsidR="00C548BB">
        <w:t>lecture led</w:t>
      </w:r>
      <w:r>
        <w:t xml:space="preserve"> </w:t>
      </w:r>
      <w:r w:rsidR="00C548BB">
        <w:t>b</w:t>
      </w:r>
      <w:r>
        <w:t>y a professional staff</w:t>
      </w:r>
      <w:r w:rsidR="00B31E4E">
        <w:t xml:space="preserve"> member</w:t>
      </w:r>
      <w:r w:rsidR="0079528D">
        <w:t xml:space="preserve">.  This </w:t>
      </w:r>
      <w:r w:rsidR="00B31E4E">
        <w:t>presentation</w:t>
      </w:r>
      <w:r w:rsidR="0079528D">
        <w:t xml:space="preserve"> includes extensive information about Sexual Violence, including </w:t>
      </w:r>
      <w:r w:rsidR="0079528D">
        <w:rPr>
          <w:i/>
          <w:iCs/>
        </w:rPr>
        <w:t>NHSC SVSH Policy</w:t>
      </w:r>
      <w:r w:rsidR="0079528D">
        <w:t xml:space="preserve"> definitions, identification, prevention, response; confidential advocacy</w:t>
      </w:r>
      <w:r w:rsidR="003358A5">
        <w:t xml:space="preserve"> services; reporting options; and by-stander intervention techniques.  </w:t>
      </w:r>
    </w:p>
    <w:p w14:paraId="71D9C291" w14:textId="6DC84E4D" w:rsidR="00C446E3" w:rsidRDefault="00C91509" w:rsidP="00A05491">
      <w:r>
        <w:t>All Orientation</w:t>
      </w:r>
      <w:r w:rsidR="00CF7D12">
        <w:t xml:space="preserve"> attendees receive a pamphlet that includes extensive information about Sexual Violence, including definitions of sexual assault, relationship violence, stalking, and consent; what to do if someone experiences Sexual Violence; confidential advocacy services; reporting options; and ongoing training and involvement opportunities.</w:t>
      </w:r>
    </w:p>
    <w:p w14:paraId="09B0980C" w14:textId="7C36DECE" w:rsidR="00CF7D12" w:rsidRPr="001450EB" w:rsidRDefault="00A43106" w:rsidP="00A05491">
      <w:pPr>
        <w:rPr>
          <w:color w:val="0072C6" w:themeColor="accent1"/>
        </w:rPr>
      </w:pPr>
      <w:r w:rsidRPr="001450EB">
        <w:rPr>
          <w:color w:val="0072C6" w:themeColor="accent1"/>
        </w:rPr>
        <w:t>Primary education for employees:</w:t>
      </w:r>
    </w:p>
    <w:p w14:paraId="29624917" w14:textId="37764733" w:rsidR="004949B2" w:rsidRDefault="00A43106" w:rsidP="00A05491">
      <w:r w:rsidRPr="001450EB">
        <w:t>All incoming non-supervisory staff employees</w:t>
      </w:r>
      <w:r w:rsidR="000B39E7" w:rsidRPr="001450EB">
        <w:t xml:space="preserve"> and non-supervisory academic appointees are required to </w:t>
      </w:r>
      <w:r w:rsidR="00B31E4E" w:rsidRPr="001450EB">
        <w:t xml:space="preserve">attend a </w:t>
      </w:r>
      <w:r w:rsidR="000B39E7" w:rsidRPr="001450EB">
        <w:t>NHSC Sexual Violence and Sexual Harassment Prevention</w:t>
      </w:r>
      <w:r w:rsidR="00057E2A" w:rsidRPr="001450EB">
        <w:t xml:space="preserve"> Training for Staff course, within the first </w:t>
      </w:r>
      <w:r w:rsidR="005B3C4A">
        <w:t>90 days</w:t>
      </w:r>
      <w:r w:rsidR="00057E2A" w:rsidRPr="001450EB">
        <w:t xml:space="preserve"> of hire.  This course provides</w:t>
      </w:r>
      <w:r w:rsidR="00D85804" w:rsidRPr="001450EB">
        <w:t xml:space="preserve"> participants with definitions of behavior outlines in the </w:t>
      </w:r>
      <w:r w:rsidR="00D85804" w:rsidRPr="001450EB">
        <w:rPr>
          <w:i/>
          <w:iCs/>
        </w:rPr>
        <w:t>NHSC SVSH Policy</w:t>
      </w:r>
      <w:r w:rsidR="00190428" w:rsidRPr="001450EB">
        <w:t>, information on reporting requirements, and links to College resources.</w:t>
      </w:r>
    </w:p>
    <w:p w14:paraId="61FC0161" w14:textId="696D6B97" w:rsidR="00482BC5" w:rsidRDefault="00482BC5" w:rsidP="00A05491">
      <w:pPr>
        <w:rPr>
          <w:b/>
          <w:bCs/>
        </w:rPr>
      </w:pPr>
      <w:r>
        <w:rPr>
          <w:b/>
          <w:bCs/>
        </w:rPr>
        <w:t>Ongoing Educational Programs</w:t>
      </w:r>
      <w:r w:rsidR="000C49ED">
        <w:rPr>
          <w:b/>
          <w:bCs/>
        </w:rPr>
        <w:t xml:space="preserve"> and Campaigns</w:t>
      </w:r>
    </w:p>
    <w:p w14:paraId="5547E78F" w14:textId="70574C00" w:rsidR="009B2B6D" w:rsidRDefault="007132F3" w:rsidP="00A05491">
      <w:r>
        <w:t>Ongoing prevention and awareness programming that expands on the primary education new students and employees receive is offered throughout the academic year, and NHSC provides active notification about these programs.</w:t>
      </w:r>
    </w:p>
    <w:p w14:paraId="35EAA5DE" w14:textId="687744A3" w:rsidR="007132F3" w:rsidRDefault="00AF07CC" w:rsidP="00A05491">
      <w:pPr>
        <w:rPr>
          <w:color w:val="0072C6" w:themeColor="accent1"/>
        </w:rPr>
      </w:pPr>
      <w:r>
        <w:rPr>
          <w:color w:val="0072C6" w:themeColor="accent1"/>
        </w:rPr>
        <w:t>Ongoing education for students:</w:t>
      </w:r>
    </w:p>
    <w:p w14:paraId="4ECC5219" w14:textId="1C406F85" w:rsidR="00B82B19" w:rsidRDefault="00AF07CC" w:rsidP="00A05491">
      <w:r>
        <w:t>NHSC provides multiple opportunities for continuing students to participate in ongoing prevention and awareness education through the academic</w:t>
      </w:r>
      <w:r w:rsidR="00223E6B">
        <w:t xml:space="preserve"> year.  Ongoing prevention education is designed to ensure students </w:t>
      </w:r>
      <w:r w:rsidR="00BD4D78">
        <w:t>expand</w:t>
      </w:r>
      <w:r w:rsidR="00223E6B">
        <w:t xml:space="preserve"> their understanding of the NHSC Curriculum</w:t>
      </w:r>
      <w:r w:rsidR="00B82B19">
        <w:t>’s Core Content Areas.</w:t>
      </w:r>
    </w:p>
    <w:p w14:paraId="76BEB192" w14:textId="3B90D8BF" w:rsidR="00B82B19" w:rsidRDefault="00B82B19" w:rsidP="00A05491">
      <w:r>
        <w:lastRenderedPageBreak/>
        <w:t>Throughout the year, efforts are made to ensure certain high-risk populations, as well as student leaders, receive tailored education.  NHSC provides education and awareness modules with ta</w:t>
      </w:r>
      <w:r w:rsidR="00105E83">
        <w:t xml:space="preserve">ilored content for specific student </w:t>
      </w:r>
      <w:r w:rsidR="00412AF9">
        <w:t>audiences such as international students, intercollegiate Athletics, and LGB</w:t>
      </w:r>
      <w:r w:rsidR="00217183">
        <w:t>TQIA+ students.  NHSC staff also provide annual training to student employees and leaders, including Orientation staff, and Associated Students leadership.</w:t>
      </w:r>
    </w:p>
    <w:p w14:paraId="7E1A268E" w14:textId="5D57A868" w:rsidR="00217183" w:rsidRDefault="00BA376D" w:rsidP="00A05491">
      <w:r>
        <w:t>Ongoing education relies on awareness campaigns to remind students of the training and educational opportunities available to them.  NHSC advertises a quarterly calendar of programs via social media,</w:t>
      </w:r>
      <w:r w:rsidR="002B18F9">
        <w:t xml:space="preserve"> and</w:t>
      </w:r>
      <w:r>
        <w:t xml:space="preserve"> the college’s website</w:t>
      </w:r>
      <w:r w:rsidR="002B18F9">
        <w:t>.</w:t>
      </w:r>
    </w:p>
    <w:p w14:paraId="51CA2CBC" w14:textId="71B2F2E2" w:rsidR="00BA376D" w:rsidRDefault="00BA376D" w:rsidP="00A05491">
      <w:r>
        <w:t>NHSC hosts multiple virtual awareness campaigns throughout the year, including events during Domestic Violence Awareness</w:t>
      </w:r>
      <w:r w:rsidR="000E6E8C">
        <w:t xml:space="preserve"> Month, Stalking Awareness Month, and Sexual Assault Awareness Month (SAAM), as well as tabling events throughout the year.</w:t>
      </w:r>
    </w:p>
    <w:p w14:paraId="7BD32B6A" w14:textId="6280BFDA" w:rsidR="00813857" w:rsidRDefault="00813857" w:rsidP="00A05491">
      <w:r>
        <w:t>NHSC also raises awareness about Sexual Violence, and available resources, through online and printed materials posted and distributed throughout the year.  The information in these guid</w:t>
      </w:r>
      <w:r w:rsidR="00D20431">
        <w:t xml:space="preserve">es include important definitions, summaries of NHSC policies and response procedures for DOE-covered conduct and conduct and prohibited </w:t>
      </w:r>
      <w:r w:rsidR="00DF18F2">
        <w:t>u</w:t>
      </w:r>
      <w:r w:rsidR="00D20431">
        <w:t>nder the</w:t>
      </w:r>
      <w:r w:rsidR="00DF18F2">
        <w:t xml:space="preserve"> </w:t>
      </w:r>
      <w:r w:rsidR="00DF18F2">
        <w:rPr>
          <w:i/>
          <w:iCs/>
        </w:rPr>
        <w:t>NHSC SVSH Policy</w:t>
      </w:r>
      <w:r w:rsidR="0084679D">
        <w:t>, complainant reporting options, information on advocacy for complainants and services for respondents</w:t>
      </w:r>
      <w:r w:rsidR="001E610B">
        <w:t>, instructions on how to respond to disclosures, information on accommodations, rights of impacted parties, campus and community resources, and an overview of supportive and other measures.</w:t>
      </w:r>
    </w:p>
    <w:p w14:paraId="23909A5F" w14:textId="16A94C3C" w:rsidR="001E610B" w:rsidRDefault="001E610B" w:rsidP="00A05491">
      <w:r>
        <w:t>NHSC also offers intensive training to students who are interested in becoming</w:t>
      </w:r>
      <w:r w:rsidR="00FE3C22">
        <w:t xml:space="preserve"> more involved in changing the campus culture.  In a collaborative effort between multiple cam</w:t>
      </w:r>
      <w:r w:rsidR="006B6FFE">
        <w:t>p</w:t>
      </w:r>
      <w:r w:rsidR="00FE3C22">
        <w:t>us departments</w:t>
      </w:r>
      <w:r w:rsidR="006B6FFE">
        <w:t>, NHSC offers students training in bystander intervention.  Students trained through this program are provided with the knowledge</w:t>
      </w:r>
      <w:r w:rsidR="003B3476">
        <w:t xml:space="preserve"> to recognize potential signs of Sexual Violence and the skills to intervene as bystanders.  Students who participate in this program </w:t>
      </w:r>
      <w:r w:rsidR="00626E51">
        <w:t>play</w:t>
      </w:r>
      <w:r w:rsidR="003B3476">
        <w:t xml:space="preserve"> an important role in creating</w:t>
      </w:r>
      <w:r w:rsidR="005634E1">
        <w:t xml:space="preserve"> positive changes in NHSC culture.</w:t>
      </w:r>
    </w:p>
    <w:p w14:paraId="041EB097" w14:textId="784B688B" w:rsidR="005634E1" w:rsidRDefault="005634E1" w:rsidP="00A05491">
      <w:r>
        <w:lastRenderedPageBreak/>
        <w:t xml:space="preserve">NHSC’s Title IX Office also creates and provides customized, supplemental training and prevention education sessions for students, upon request.  These tailored sessions include </w:t>
      </w:r>
      <w:r w:rsidR="00626E51">
        <w:t>training</w:t>
      </w:r>
      <w:r w:rsidR="000F71AC">
        <w:t xml:space="preserve"> on specific topics, presentations at workshops, participation in panel discussions, information sharing at Town Halls, and involvement in Questions and Answers (Q&amp;A) sessions related to Title IX matters.  In addition, the Title IX Office provides training </w:t>
      </w:r>
      <w:r w:rsidR="00626E51">
        <w:t>accommodation</w:t>
      </w:r>
      <w:r w:rsidR="000F71AC">
        <w:t xml:space="preserve"> to students who request</w:t>
      </w:r>
      <w:r w:rsidR="006916CA">
        <w:t xml:space="preserve"> exemptions to the mandatory online courses.</w:t>
      </w:r>
    </w:p>
    <w:p w14:paraId="6CB42873" w14:textId="4E5E7D78" w:rsidR="006916CA" w:rsidRDefault="006916CA" w:rsidP="00A05491">
      <w:r>
        <w:t>NHSC offers the following ongoing educational programs and training opportunities for students throughout the year.</w:t>
      </w:r>
    </w:p>
    <w:p w14:paraId="2101999E" w14:textId="5835F014" w:rsidR="00561822" w:rsidRDefault="001115EB" w:rsidP="00A05491">
      <w:r>
        <w:rPr>
          <w:b/>
          <w:bCs/>
        </w:rPr>
        <w:t xml:space="preserve">Title IX Overview: </w:t>
      </w:r>
      <w:r>
        <w:t xml:space="preserve">This training provides participants with an overview of the scope </w:t>
      </w:r>
      <w:r w:rsidR="004C7F48">
        <w:t>of Title IX and the role of NHSC’s Title IX Office.  It identifies Prohibited</w:t>
      </w:r>
      <w:r w:rsidR="003D7911">
        <w:t xml:space="preserve"> Conduct under the </w:t>
      </w:r>
      <w:r w:rsidR="003D7911">
        <w:rPr>
          <w:i/>
          <w:iCs/>
        </w:rPr>
        <w:t>NHSC SVSH Policy</w:t>
      </w:r>
      <w:r w:rsidR="004E541F">
        <w:rPr>
          <w:i/>
          <w:iCs/>
        </w:rPr>
        <w:t xml:space="preserve"> </w:t>
      </w:r>
      <w:r w:rsidR="004E541F">
        <w:t>and reviews the Title IX response options and investigation and adjudication procedures.  This training also provides participants</w:t>
      </w:r>
      <w:r w:rsidR="00C91564">
        <w:t xml:space="preserve"> </w:t>
      </w:r>
      <w:r w:rsidR="0060131D">
        <w:t>with</w:t>
      </w:r>
      <w:r w:rsidR="00C91564">
        <w:t xml:space="preserve"> information on reporting responsibilities and campus and community resources.</w:t>
      </w:r>
    </w:p>
    <w:p w14:paraId="19281CE9" w14:textId="6076132C" w:rsidR="00C91564" w:rsidRDefault="00C91564" w:rsidP="00A05491">
      <w:pPr>
        <w:rPr>
          <w:color w:val="0072C6" w:themeColor="accent1"/>
        </w:rPr>
      </w:pPr>
      <w:r>
        <w:rPr>
          <w:color w:val="0072C6" w:themeColor="accent1"/>
        </w:rPr>
        <w:t>Ongoing education for employees:</w:t>
      </w:r>
    </w:p>
    <w:p w14:paraId="24999CB9" w14:textId="194109A5" w:rsidR="00CA0412" w:rsidRDefault="00CA0412" w:rsidP="00A05491">
      <w:r>
        <w:t>Online compliance training opportunities for employees are provided using interactive modules.  NHSC also offers supplemental instructor-led training and campus awareness events outside of the compliance modules that may include presentation, guest lectures, and campus-wide events.</w:t>
      </w:r>
    </w:p>
    <w:p w14:paraId="3D01C6AA" w14:textId="7CFF9B80" w:rsidR="00752EF8" w:rsidRDefault="003F3BA6" w:rsidP="00A05491">
      <w:r>
        <w:t xml:space="preserve">Various NHSC departments, such as Title </w:t>
      </w:r>
      <w:r w:rsidR="00FA1B78">
        <w:t>IX,</w:t>
      </w:r>
      <w:r>
        <w:t xml:space="preserve"> also provi</w:t>
      </w:r>
      <w:r w:rsidR="0075615F">
        <w:t xml:space="preserve">de supplemental training and prevention education sessions to employees upon request.  These sessions include </w:t>
      </w:r>
      <w:r w:rsidR="00626E51">
        <w:t>training</w:t>
      </w:r>
      <w:r w:rsidR="007901A5">
        <w:t xml:space="preserve"> on specific topics, presentations at workshops, participation in panel discussions, information sharing at Town Halls, and involvement in Questions</w:t>
      </w:r>
      <w:r w:rsidR="00D544B7">
        <w:t xml:space="preserve"> and Answers (Q&amp;A) sessions.  In addition, Title IX provides training </w:t>
      </w:r>
      <w:r w:rsidR="00626E51">
        <w:t>accommodation</w:t>
      </w:r>
      <w:r w:rsidR="00D544B7">
        <w:t xml:space="preserve"> to employees who request exemptions to the mandatory online courses.</w:t>
      </w:r>
    </w:p>
    <w:p w14:paraId="107EE76D" w14:textId="739D53CC" w:rsidR="00D544B7" w:rsidRDefault="00D544B7" w:rsidP="00A05491">
      <w:r>
        <w:lastRenderedPageBreak/>
        <w:t>NHSC offers the following supplemental training</w:t>
      </w:r>
      <w:r w:rsidR="00A10B55">
        <w:t xml:space="preserve"> options for employees in order to complement the campus’s mandatory Sexual Violence and Sexual Harassment Prevention Training program.</w:t>
      </w:r>
    </w:p>
    <w:p w14:paraId="49ED74AD" w14:textId="6EF786DE" w:rsidR="00A10B55" w:rsidRDefault="00390A9D" w:rsidP="00A05491">
      <w:r w:rsidRPr="001450EB">
        <w:rPr>
          <w:b/>
          <w:bCs/>
        </w:rPr>
        <w:t>Hearing Officer Training:</w:t>
      </w:r>
      <w:r>
        <w:rPr>
          <w:b/>
          <w:bCs/>
        </w:rPr>
        <w:t xml:space="preserve"> </w:t>
      </w:r>
      <w:r>
        <w:t>This training is designed specifically for hearing officers involved in the Title IX process.</w:t>
      </w:r>
      <w:r w:rsidR="000E71C5">
        <w:t xml:space="preserve">  It provides hearing officers with information about Prohibited Conduct under the </w:t>
      </w:r>
      <w:r w:rsidR="001205DE">
        <w:rPr>
          <w:i/>
          <w:iCs/>
        </w:rPr>
        <w:t>NHSC SVSH Policy</w:t>
      </w:r>
      <w:r w:rsidR="00D2712F">
        <w:rPr>
          <w:i/>
          <w:iCs/>
        </w:rPr>
        <w:t>;</w:t>
      </w:r>
      <w:r w:rsidR="00D2712F">
        <w:t xml:space="preserve"> procedures set forth in the Student Investigation and Adjudication Frameworks; the relevance of trauma in the context of Sexual Violence, including the neuro</w:t>
      </w:r>
      <w:r w:rsidR="000F4D9D">
        <w:t>biology of trauma, its impacts on reporting, and its influence on the hearing process</w:t>
      </w:r>
      <w:r w:rsidR="00D55531">
        <w:t>; how to understand and address implicit bias; and the hearing process, including the rules of conduct, the rights and expectations of the parties</w:t>
      </w:r>
      <w:r w:rsidR="00691E7E">
        <w:t>, the hearing officer’s charge, a breakdown of the stages of the hearing process, and a review of the standard of deliberation.</w:t>
      </w:r>
    </w:p>
    <w:p w14:paraId="0743DDBA" w14:textId="15B85411" w:rsidR="000B7F36" w:rsidRDefault="00025693" w:rsidP="00A05491">
      <w:r w:rsidRPr="001450EB">
        <w:rPr>
          <w:b/>
          <w:bCs/>
        </w:rPr>
        <w:t>Practical Implementation of NHSC Policy:</w:t>
      </w:r>
      <w:r>
        <w:rPr>
          <w:b/>
          <w:bCs/>
        </w:rPr>
        <w:t xml:space="preserve"> </w:t>
      </w:r>
      <w:r>
        <w:t xml:space="preserve">This brief training provides participants with information on </w:t>
      </w:r>
      <w:r>
        <w:rPr>
          <w:i/>
          <w:iCs/>
        </w:rPr>
        <w:t>NHSC SVSH Policy</w:t>
      </w:r>
      <w:r w:rsidR="00AC0A6E">
        <w:rPr>
          <w:i/>
          <w:iCs/>
        </w:rPr>
        <w:t xml:space="preserve">, </w:t>
      </w:r>
      <w:r w:rsidR="00AC0A6E">
        <w:t>the scope of Title IX, reporting responsibilities for faculty suggested language</w:t>
      </w:r>
      <w:r w:rsidR="004D3BFE">
        <w:t xml:space="preserve"> to use before and after someone discloses a matter of Sexual Violence or sexual harassment, and confidential resources.</w:t>
      </w:r>
    </w:p>
    <w:p w14:paraId="0699F5E1" w14:textId="0409A0DC" w:rsidR="002E47B8" w:rsidRDefault="00766064" w:rsidP="00A05491">
      <w:r w:rsidRPr="001450EB">
        <w:rPr>
          <w:b/>
          <w:bCs/>
        </w:rPr>
        <w:t>Title IX Advocacy Liaison Training:</w:t>
      </w:r>
      <w:r>
        <w:rPr>
          <w:b/>
          <w:bCs/>
        </w:rPr>
        <w:t xml:space="preserve"> </w:t>
      </w:r>
      <w:r>
        <w:t>This training includes information on Title IX scope and services, compliance training, and resources; the response procedures for responding to reports of Prohibited Conduct; and the functions of the Title IX Advocacy Liaison, including an explanation of the position’s con</w:t>
      </w:r>
      <w:r w:rsidR="00ED7F4A">
        <w:t>fidentiality</w:t>
      </w:r>
      <w:r w:rsidR="006C51DE">
        <w:t>, requirements of the role, and the services the position does and does not provide.</w:t>
      </w:r>
    </w:p>
    <w:p w14:paraId="63239DD9" w14:textId="2FE9562D" w:rsidR="006C51DE" w:rsidRDefault="006C51DE" w:rsidP="00A05491">
      <w:r w:rsidRPr="001450EB">
        <w:rPr>
          <w:b/>
          <w:bCs/>
        </w:rPr>
        <w:t>Title IX Overview:</w:t>
      </w:r>
      <w:r>
        <w:rPr>
          <w:b/>
          <w:bCs/>
        </w:rPr>
        <w:t xml:space="preserve"> </w:t>
      </w:r>
      <w:r>
        <w:t xml:space="preserve">This training provides participants with an overview of the scope of </w:t>
      </w:r>
      <w:r w:rsidR="00626E51">
        <w:t>Title</w:t>
      </w:r>
      <w:r>
        <w:t xml:space="preserve"> IX and the role of </w:t>
      </w:r>
      <w:r w:rsidR="000165DD">
        <w:t xml:space="preserve">the </w:t>
      </w:r>
      <w:r>
        <w:t>NHSC</w:t>
      </w:r>
      <w:r w:rsidR="000165DD">
        <w:t xml:space="preserve"> Title IX Office.  It identifies Prohibited Conduct un</w:t>
      </w:r>
      <w:r w:rsidR="009559D8">
        <w:t>der</w:t>
      </w:r>
      <w:r w:rsidR="000165DD">
        <w:t xml:space="preserve"> the </w:t>
      </w:r>
      <w:r w:rsidR="000165DD">
        <w:rPr>
          <w:i/>
          <w:iCs/>
        </w:rPr>
        <w:t>NHSC SVSH Policy</w:t>
      </w:r>
      <w:r w:rsidR="005E4BCE">
        <w:t xml:space="preserve"> and reviews Title IX</w:t>
      </w:r>
      <w:r w:rsidR="00A53586">
        <w:t xml:space="preserve"> response options and investigation and adjudication procedures.  This training also provides participants with information on reporting responsibilities and campus and community resources.</w:t>
      </w:r>
    </w:p>
    <w:p w14:paraId="1034FA05" w14:textId="5B00AD93" w:rsidR="00A53586" w:rsidRDefault="002E04A5" w:rsidP="006A64BD">
      <w:pPr>
        <w:pStyle w:val="ListParagraph"/>
        <w:numPr>
          <w:ilvl w:val="0"/>
          <w:numId w:val="38"/>
        </w:numPr>
      </w:pPr>
      <w:r>
        <w:t>In collaboration with the Clery Act Compliance Office (Campus Safety Office), Title IX offers a variation of this trai</w:t>
      </w:r>
      <w:r w:rsidR="002967A5">
        <w:t xml:space="preserve">ning called Title IX Overview and Clery CSA Reporting, in </w:t>
      </w:r>
      <w:r w:rsidR="002967A5">
        <w:lastRenderedPageBreak/>
        <w:t>which Title IX presents content from the Title IX Overview training</w:t>
      </w:r>
      <w:r w:rsidR="00EA53D1">
        <w:t xml:space="preserve"> immediately before the Clery Act Compliance Coordinator provides information about CSA and CANRA reporting requirements.</w:t>
      </w:r>
    </w:p>
    <w:p w14:paraId="2A06F298" w14:textId="3CFB3209" w:rsidR="00EA53D1" w:rsidRDefault="00EA53D1" w:rsidP="006A64BD">
      <w:pPr>
        <w:pStyle w:val="ListParagraph"/>
        <w:numPr>
          <w:ilvl w:val="0"/>
          <w:numId w:val="38"/>
        </w:numPr>
      </w:pPr>
      <w:r>
        <w:t>In collaboration with the Clery Act Compliance Office, Title IX offers a version of this training called Title IX and Clery Overviews.  This training provides participants with an overview of Title IX and the Clery Act.</w:t>
      </w:r>
      <w:r w:rsidR="000E491E">
        <w:t xml:space="preserve">  The Title IX portion of the training provides participants with the content from the Title IX Overview</w:t>
      </w:r>
      <w:r w:rsidR="00B9776C">
        <w:t xml:space="preserve">, and the Clery portion explores the Clery Act’s history, goals, and requirements; reviews how information is shared; describes the campus </w:t>
      </w:r>
      <w:r w:rsidR="00881D3F">
        <w:t>NHSC</w:t>
      </w:r>
      <w:r w:rsidR="00B9776C">
        <w:t>-Alert system and the daily crime log; defines Clery crimes; explains how to make a Clery report and what to report on; and provides resource information.</w:t>
      </w:r>
    </w:p>
    <w:p w14:paraId="6D16179D" w14:textId="68849C92" w:rsidR="00B9776C" w:rsidRDefault="00420A91" w:rsidP="00B9776C">
      <w:r w:rsidRPr="001450EB">
        <w:rPr>
          <w:b/>
          <w:bCs/>
        </w:rPr>
        <w:t>Title IX Reporting Responsibilities</w:t>
      </w:r>
      <w:r w:rsidRPr="00E70890">
        <w:rPr>
          <w:b/>
          <w:bCs/>
        </w:rPr>
        <w:t>:</w:t>
      </w:r>
      <w:r>
        <w:rPr>
          <w:b/>
          <w:bCs/>
        </w:rPr>
        <w:t xml:space="preserve"> </w:t>
      </w:r>
      <w:r>
        <w:t>This training provides in-depth information regarding Title IX scope and services, Responsible Employee reporting obligations, confidential advocacy services, and Title IX response processes.  It includes what to do when receiving a disclosure of sexual harassment, Sexual Violence, and/or other prohibited behavior; the impacts of receiving a disclosure</w:t>
      </w:r>
      <w:r w:rsidR="00B31A19">
        <w:t>; when and how to make a report to Title IX; and what happens after a report is made.</w:t>
      </w:r>
    </w:p>
    <w:p w14:paraId="46AFEF8B" w14:textId="0FF1234A" w:rsidR="00B31A19" w:rsidRDefault="00BA0363" w:rsidP="006A64BD">
      <w:pPr>
        <w:pStyle w:val="ListParagraph"/>
        <w:numPr>
          <w:ilvl w:val="0"/>
          <w:numId w:val="39"/>
        </w:numPr>
      </w:pPr>
      <w:r>
        <w:t>In collaboration with the Campus Safety Office, Title IX offers a variation of this training called Reporting Responsibilities, in which Title IX provides the content from the Title IX Reporting Responsibilities training immediately before the Clery Act Compliance/Safety Office</w:t>
      </w:r>
      <w:r w:rsidR="00F73E19">
        <w:t>r facilitates a training on the Clery Act and CSA reporting requirements.</w:t>
      </w:r>
    </w:p>
    <w:p w14:paraId="261F72FB" w14:textId="1C881F7F" w:rsidR="00F73E19" w:rsidRDefault="00F73E19" w:rsidP="006A64BD">
      <w:pPr>
        <w:pStyle w:val="ListParagraph"/>
        <w:numPr>
          <w:ilvl w:val="0"/>
          <w:numId w:val="39"/>
        </w:numPr>
      </w:pPr>
      <w:r>
        <w:t>Title IX facilitates a variation of this training called Title IX Reporting Responsibilities &amp; Trauma-Informed Response.  In addition to covering the same material provided in the Title IX Reporting</w:t>
      </w:r>
      <w:r w:rsidR="00041739">
        <w:t xml:space="preserve"> Responsibilities training, this training also includes a section on in-depth overview of their services</w:t>
      </w:r>
      <w:r w:rsidR="002B0D23">
        <w:t>, how they advocate for individuals impacted by trauma, and the overarching issue of Sexual Violence at NHSC.  The session discusses the influential role NHSC staff members have, how trauma impacts survivors</w:t>
      </w:r>
      <w:r w:rsidR="0026494C">
        <w:t xml:space="preserve">, how to respond to survivors with </w:t>
      </w:r>
      <w:r w:rsidR="002326D9">
        <w:t>compassion, and how to connect with a confidential advocate.</w:t>
      </w:r>
    </w:p>
    <w:p w14:paraId="35191D36" w14:textId="4277745E" w:rsidR="002326D9" w:rsidRDefault="002326D9" w:rsidP="002326D9">
      <w:r>
        <w:rPr>
          <w:b/>
          <w:bCs/>
        </w:rPr>
        <w:lastRenderedPageBreak/>
        <w:t xml:space="preserve">Title IX &amp; SVSH Policy Overview: </w:t>
      </w:r>
      <w:r>
        <w:t xml:space="preserve">This training provides an overview of Title IX and the </w:t>
      </w:r>
      <w:r w:rsidR="00077CAC">
        <w:rPr>
          <w:i/>
          <w:iCs/>
        </w:rPr>
        <w:t xml:space="preserve">NHSC SVSH Policy.  </w:t>
      </w:r>
      <w:r w:rsidR="00077CAC">
        <w:t xml:space="preserve">It includes a review of Title IX scope, services, and compliance training; a summary of the </w:t>
      </w:r>
      <w:r w:rsidR="00781A97">
        <w:rPr>
          <w:i/>
          <w:iCs/>
        </w:rPr>
        <w:t>NHSC SVSH Policy</w:t>
      </w:r>
      <w:r w:rsidR="00781A97">
        <w:t xml:space="preserve"> and the definitions of Prohibited Conduct under the Policy; infor</w:t>
      </w:r>
      <w:r w:rsidR="00F44F59">
        <w:t>mation related to Responsible Employee designation and how to make a report to Title IX; a summary of the procedures for responding to reports of Prohibited Conduct; resource information</w:t>
      </w:r>
      <w:r w:rsidR="0022713D">
        <w:t>; and an exploration of what happens after a report is made to Title IX.</w:t>
      </w:r>
    </w:p>
    <w:p w14:paraId="2EF18C04" w14:textId="06FB63EC" w:rsidR="0022713D" w:rsidRPr="000210E2" w:rsidRDefault="0022713D" w:rsidP="00D15FCB">
      <w:pPr>
        <w:pStyle w:val="Heading2"/>
        <w:ind w:left="720" w:hanging="720"/>
        <w:rPr>
          <w:rFonts w:asciiTheme="minorHAnsi" w:hAnsiTheme="minorHAnsi" w:cstheme="minorHAnsi"/>
          <w:sz w:val="24"/>
          <w:szCs w:val="24"/>
        </w:rPr>
      </w:pPr>
      <w:bookmarkStart w:id="46" w:name="_Toc209014398"/>
      <w:r w:rsidRPr="000210E2">
        <w:rPr>
          <w:rFonts w:asciiTheme="minorHAnsi" w:hAnsiTheme="minorHAnsi" w:cstheme="minorHAnsi"/>
          <w:sz w:val="24"/>
          <w:szCs w:val="24"/>
        </w:rPr>
        <w:t>10.3</w:t>
      </w:r>
      <w:r w:rsidRPr="000210E2">
        <w:rPr>
          <w:rFonts w:asciiTheme="minorHAnsi" w:hAnsiTheme="minorHAnsi" w:cstheme="minorHAnsi"/>
          <w:sz w:val="24"/>
          <w:szCs w:val="24"/>
        </w:rPr>
        <w:tab/>
        <w:t>IMMEDIATE ASSISTANCE AND PROCEDURES TO FOLLOW FOR VICTIMS OF SEXUAL VIOLENCE</w:t>
      </w:r>
      <w:bookmarkEnd w:id="46"/>
    </w:p>
    <w:p w14:paraId="141E7FA9" w14:textId="55A5CD8D" w:rsidR="001722A0" w:rsidRDefault="001722A0" w:rsidP="002326D9">
      <w:r>
        <w:t xml:space="preserve">The following are procedures victims of Sexual Violence are </w:t>
      </w:r>
      <w:r w:rsidR="00CC1E1B">
        <w:t>encouraged</w:t>
      </w:r>
      <w:r>
        <w:t xml:space="preserve"> to follow</w:t>
      </w:r>
      <w:r w:rsidR="003E5DBC">
        <w:t>.</w:t>
      </w:r>
    </w:p>
    <w:p w14:paraId="16754EDA" w14:textId="5A6A13A6" w:rsidR="003E5DBC" w:rsidRDefault="003E5DBC" w:rsidP="002326D9">
      <w:pPr>
        <w:rPr>
          <w:b/>
          <w:bCs/>
        </w:rPr>
      </w:pPr>
      <w:r>
        <w:rPr>
          <w:b/>
          <w:bCs/>
        </w:rPr>
        <w:t>Safety</w:t>
      </w:r>
    </w:p>
    <w:p w14:paraId="0B0661E0" w14:textId="742E1849" w:rsidR="003E5DBC" w:rsidRDefault="003E5DBC" w:rsidP="002326D9">
      <w:r>
        <w:t>Victims of Sexual Violence are strongly encouraged to immediately contact the Campus Safety Office (CSO) to address their immediate safety needs.  The CSO</w:t>
      </w:r>
      <w:r w:rsidR="00982C06">
        <w:t xml:space="preserve"> is located at the Main Entrance of the Campus at Door </w:t>
      </w:r>
      <w:r w:rsidR="00AB6C69" w:rsidRPr="000B4052">
        <w:t>C</w:t>
      </w:r>
      <w:r w:rsidR="00B338F5">
        <w:t>.  Available during business hours of 8:00 a.m. – 5:00 p.m.  Call (701) 627-8052.  If this is an emergency and after hours call 911 to contact the New Town Police.</w:t>
      </w:r>
    </w:p>
    <w:p w14:paraId="72C3CC7E" w14:textId="16ACFF21" w:rsidR="008E5044" w:rsidRDefault="008E5044" w:rsidP="002326D9">
      <w:pPr>
        <w:rPr>
          <w:b/>
          <w:bCs/>
        </w:rPr>
      </w:pPr>
      <w:r>
        <w:rPr>
          <w:b/>
          <w:bCs/>
        </w:rPr>
        <w:t>Confidential Support Services</w:t>
      </w:r>
    </w:p>
    <w:p w14:paraId="5883F33A" w14:textId="46E63A70" w:rsidR="008E5044" w:rsidRDefault="008E5044" w:rsidP="002326D9">
      <w:r>
        <w:t>The Counseling Office offers confidential assistance: (701)</w:t>
      </w:r>
      <w:r w:rsidR="006B5EBF">
        <w:t xml:space="preserve"> 627-8036.  Counseling office will address immediate needs by </w:t>
      </w:r>
      <w:r w:rsidR="00600088">
        <w:t>aiding</w:t>
      </w:r>
      <w:r w:rsidR="006B5EBF">
        <w:t xml:space="preserve"> in obtaining a sexual assault forensic exam and/or reporting to law enforcement.  In addition, you may access the following off campus services:</w:t>
      </w:r>
    </w:p>
    <w:p w14:paraId="41F694FC" w14:textId="32199E90" w:rsidR="00032756" w:rsidRDefault="00784F66" w:rsidP="006A64BD">
      <w:pPr>
        <w:pStyle w:val="ListParagraph"/>
        <w:numPr>
          <w:ilvl w:val="0"/>
          <w:numId w:val="40"/>
        </w:numPr>
      </w:pPr>
      <w:r>
        <w:rPr>
          <w:b/>
          <w:bCs/>
        </w:rPr>
        <w:t xml:space="preserve">TAT Victim Services, </w:t>
      </w:r>
      <w:r>
        <w:t xml:space="preserve">MHA Nation, New Town, ND </w:t>
      </w:r>
      <w:r w:rsidR="00696B42">
        <w:t>(701) 627-4171</w:t>
      </w:r>
    </w:p>
    <w:p w14:paraId="42624A6D" w14:textId="24C15B46" w:rsidR="00756EAC" w:rsidRPr="00756EAC" w:rsidRDefault="00756EAC" w:rsidP="006A64BD">
      <w:pPr>
        <w:pStyle w:val="ListParagraph"/>
        <w:numPr>
          <w:ilvl w:val="0"/>
          <w:numId w:val="40"/>
        </w:numPr>
      </w:pPr>
      <w:r>
        <w:rPr>
          <w:b/>
          <w:bCs/>
        </w:rPr>
        <w:t>Domestic Violence Crisis Center</w:t>
      </w:r>
      <w:r w:rsidR="006B71B0">
        <w:rPr>
          <w:b/>
          <w:bCs/>
        </w:rPr>
        <w:t xml:space="preserve">, </w:t>
      </w:r>
      <w:r w:rsidR="006B71B0">
        <w:t>3900 11</w:t>
      </w:r>
      <w:r w:rsidR="006B71B0" w:rsidRPr="006B71B0">
        <w:rPr>
          <w:vertAlign w:val="superscript"/>
        </w:rPr>
        <w:t>th</w:t>
      </w:r>
      <w:r w:rsidR="006B71B0">
        <w:t xml:space="preserve"> Ave SE, Minot, ND (701) 852-2258</w:t>
      </w:r>
    </w:p>
    <w:p w14:paraId="3A326C6C" w14:textId="4AA153AE" w:rsidR="00756EAC" w:rsidRPr="00756EAC" w:rsidRDefault="00756EAC" w:rsidP="006A64BD">
      <w:pPr>
        <w:pStyle w:val="ListParagraph"/>
        <w:numPr>
          <w:ilvl w:val="0"/>
          <w:numId w:val="40"/>
        </w:numPr>
      </w:pPr>
      <w:r>
        <w:rPr>
          <w:b/>
          <w:bCs/>
        </w:rPr>
        <w:t>Domestic Violence Program,</w:t>
      </w:r>
      <w:r w:rsidR="006B71B0">
        <w:rPr>
          <w:b/>
          <w:bCs/>
        </w:rPr>
        <w:t xml:space="preserve"> </w:t>
      </w:r>
      <w:r w:rsidR="00BA627B">
        <w:t>101 S Main St. #2, Stanley, ND (701) 628</w:t>
      </w:r>
      <w:r w:rsidR="006B3C54">
        <w:t>-3233</w:t>
      </w:r>
    </w:p>
    <w:p w14:paraId="5D83CFFD" w14:textId="65E00982" w:rsidR="00756EAC" w:rsidRPr="00756EAC" w:rsidRDefault="00756EAC" w:rsidP="006A64BD">
      <w:pPr>
        <w:pStyle w:val="ListParagraph"/>
        <w:numPr>
          <w:ilvl w:val="0"/>
          <w:numId w:val="40"/>
        </w:numPr>
      </w:pPr>
      <w:r>
        <w:rPr>
          <w:b/>
          <w:bCs/>
        </w:rPr>
        <w:t>Abused Adult Resource Center,</w:t>
      </w:r>
      <w:r w:rsidR="006B3C54">
        <w:rPr>
          <w:b/>
          <w:bCs/>
        </w:rPr>
        <w:t xml:space="preserve"> </w:t>
      </w:r>
      <w:r w:rsidR="006B3C54">
        <w:t>Bismarck, ND (701) 222-8370</w:t>
      </w:r>
      <w:r w:rsidR="00A91065">
        <w:t xml:space="preserve"> or Crisis Line (866) 341-7009</w:t>
      </w:r>
    </w:p>
    <w:p w14:paraId="419FF0FC" w14:textId="5617BA81" w:rsidR="00756EAC" w:rsidRPr="00756EAC" w:rsidRDefault="00756EAC" w:rsidP="006A64BD">
      <w:pPr>
        <w:pStyle w:val="ListParagraph"/>
        <w:numPr>
          <w:ilvl w:val="0"/>
          <w:numId w:val="40"/>
        </w:numPr>
      </w:pPr>
      <w:r>
        <w:rPr>
          <w:b/>
          <w:bCs/>
        </w:rPr>
        <w:lastRenderedPageBreak/>
        <w:t>Domestic Violence &amp; Rape Crisis Center,</w:t>
      </w:r>
      <w:r w:rsidR="00A91065">
        <w:rPr>
          <w:b/>
          <w:bCs/>
        </w:rPr>
        <w:t xml:space="preserve"> </w:t>
      </w:r>
      <w:r w:rsidR="00BF37E4">
        <w:t>Dickinson, ND (701) 225-4506 or (888) 225-4506,</w:t>
      </w:r>
    </w:p>
    <w:p w14:paraId="38DA8497" w14:textId="249A741B" w:rsidR="00756EAC" w:rsidRDefault="00756EAC" w:rsidP="006A64BD">
      <w:pPr>
        <w:pStyle w:val="ListParagraph"/>
        <w:numPr>
          <w:ilvl w:val="0"/>
          <w:numId w:val="40"/>
        </w:numPr>
      </w:pPr>
      <w:r>
        <w:rPr>
          <w:b/>
          <w:bCs/>
        </w:rPr>
        <w:t>Family Crisis Shelter of North Dakota,</w:t>
      </w:r>
      <w:r w:rsidR="00BF37E4">
        <w:rPr>
          <w:b/>
          <w:bCs/>
        </w:rPr>
        <w:t xml:space="preserve"> </w:t>
      </w:r>
      <w:r w:rsidR="00BF37E4">
        <w:t>Williston, ND (701)</w:t>
      </w:r>
      <w:r w:rsidR="00551769">
        <w:t xml:space="preserve"> 572-0757 or Crisis Line (800) 627-3659</w:t>
      </w:r>
    </w:p>
    <w:p w14:paraId="69D5CDEA" w14:textId="7BB70281" w:rsidR="004C68AB" w:rsidRDefault="004C68AB" w:rsidP="004C68AB">
      <w:pPr>
        <w:rPr>
          <w:b/>
          <w:bCs/>
        </w:rPr>
      </w:pPr>
      <w:r>
        <w:rPr>
          <w:b/>
          <w:bCs/>
        </w:rPr>
        <w:t>Preserve Evidence</w:t>
      </w:r>
    </w:p>
    <w:p w14:paraId="00576856" w14:textId="2C65704E" w:rsidR="004C68AB" w:rsidRDefault="004C68AB" w:rsidP="004C68AB">
      <w:r>
        <w:t>Even if a victim is not sure about pursuing an investigation or sanctions against the alleged suspect, they are encouraged to preserve evidence.  It is important to preserve physical evidence because it can assist in criminal prosecution or in obtaining a protection order</w:t>
      </w:r>
      <w:r w:rsidR="00475C46">
        <w:t>.  Victims of sexual assault are encouraged to save anything that might contain the suspect’s DNA.</w:t>
      </w:r>
      <w:r w:rsidR="00114074">
        <w:t xml:space="preserve">  Efforts to do this include limiting the use of the restroom, and not bathing or showing, changing clothes, combing hair, cleaning up the crime scene, moving anything the suspect might have touched (until</w:t>
      </w:r>
      <w:r w:rsidR="00A77775">
        <w:t xml:space="preserve"> the evidence has been collected).</w:t>
      </w:r>
    </w:p>
    <w:p w14:paraId="64507EBA" w14:textId="668D1AF7" w:rsidR="00A77775" w:rsidRDefault="00A77775" w:rsidP="004C68AB">
      <w:r>
        <w:t xml:space="preserve">Evidence of a sexual assault is most effectively collected via a sexual assault </w:t>
      </w:r>
      <w:r w:rsidR="00BB0357">
        <w:t xml:space="preserve">forensic exam.  Victims of Sexual Violence (sexual assault, relationship violence, and stalking) can also preserve evidence by saving text messages, instant messages, voice mail and call logs, social networking </w:t>
      </w:r>
      <w:r w:rsidR="00DC44E9">
        <w:t>pages, photographs, and other documents that could be useful to Police investigators.</w:t>
      </w:r>
    </w:p>
    <w:p w14:paraId="7D4B0034" w14:textId="0BE1F306" w:rsidR="00DC44E9" w:rsidRDefault="00BF15D5" w:rsidP="004C68AB">
      <w:pPr>
        <w:rPr>
          <w:b/>
          <w:bCs/>
        </w:rPr>
      </w:pPr>
      <w:r>
        <w:rPr>
          <w:b/>
          <w:bCs/>
        </w:rPr>
        <w:t>Sexual Assault Response Team Exams</w:t>
      </w:r>
    </w:p>
    <w:p w14:paraId="6827E158" w14:textId="62F48661" w:rsidR="00BF15D5" w:rsidRDefault="00BF15D5" w:rsidP="004C68AB">
      <w:r>
        <w:t>A Sexual Assault Response Team (SART) is a multi-disciplinary team</w:t>
      </w:r>
      <w:r w:rsidR="003C7E18">
        <w:t xml:space="preserve"> comprised of in</w:t>
      </w:r>
      <w:r w:rsidR="00F87EA1">
        <w:t>dividuals from multiple county agencies.</w:t>
      </w:r>
      <w:r w:rsidR="00802424">
        <w:t xml:space="preserve">  The purpose of a SART is to provide a collaborative response to individual</w:t>
      </w:r>
      <w:r w:rsidR="0072736A">
        <w:t>s who have been sexually assaulted or sexually abused.  Services offered through the SART include forensic medical exams, forensic interviews</w:t>
      </w:r>
      <w:r w:rsidR="00655A1C">
        <w:t>, emotional support, advocacy, counseling referrals, prophylaxis for sexually transmitted infections and pregnancy, and other support services for the individual and their family members.</w:t>
      </w:r>
    </w:p>
    <w:p w14:paraId="37DC5B39" w14:textId="5BC9EE71" w:rsidR="00655A1C" w:rsidRDefault="00655A1C" w:rsidP="004C68AB">
      <w:r>
        <w:lastRenderedPageBreak/>
        <w:t>A SART exam is a forensic medical exam conducted by a forensic nurse examiner.  Due to potential evidence degradation over time, it is recommended that victims obtain a SART exam</w:t>
      </w:r>
      <w:r w:rsidR="00376E22">
        <w:t xml:space="preserve"> as soon as possible.</w:t>
      </w:r>
      <w:r w:rsidR="00911049">
        <w:t xml:space="preserve">  SART exams are free and do not require</w:t>
      </w:r>
      <w:r w:rsidR="00AA55F9">
        <w:t xml:space="preserve"> health insurance.  State and local funds cover the cost of an exam.  Victims have the right to be accompanied to their medical exam by a sexual assault advocate and another support person of their choosing.  It is important to note that any health center</w:t>
      </w:r>
      <w:r w:rsidR="004B40E4">
        <w:t xml:space="preserve"> or physician treating the victim of a violent crime is obligated by law to report the crime to the Police.</w:t>
      </w:r>
    </w:p>
    <w:p w14:paraId="1AEF629D" w14:textId="0B1074DC" w:rsidR="004B40E4" w:rsidRDefault="00042070" w:rsidP="004C68AB">
      <w:r>
        <w:t>Referrals for a SART exam are made by law enforcement personnel or a sexual assault advocate.  An exam can be authorized without law enforcement involvement, but Police still play a role in booking</w:t>
      </w:r>
      <w:r w:rsidR="00CB7A68">
        <w:t xml:space="preserve"> evidence.  A SART exam</w:t>
      </w:r>
      <w:r w:rsidR="00722DE8">
        <w:t xml:space="preserve"> initiated by an advocate only, in which the examinee’s personally identifiable information is not shared with Police, is referred to as a “Restricted Forensic Medical Exam.”</w:t>
      </w:r>
      <w:r w:rsidR="00D94466">
        <w:t xml:space="preserve">  A victim may arrange to have a SART exam through the following avenues:</w:t>
      </w:r>
    </w:p>
    <w:p w14:paraId="768667B0" w14:textId="76EA1F7C" w:rsidR="00D94466" w:rsidRDefault="00D94466" w:rsidP="004C68AB">
      <w:r>
        <w:rPr>
          <w:b/>
          <w:bCs/>
        </w:rPr>
        <w:t xml:space="preserve">Police Report:  </w:t>
      </w:r>
      <w:r>
        <w:t>When a Police report is made, the law enforcement agency can authorize a SART exam.  NHSC or a law enforcement agency personnel will then transport the victim to the exam location.</w:t>
      </w:r>
    </w:p>
    <w:p w14:paraId="7D0CA4E0" w14:textId="3263A1E1" w:rsidR="00D94466" w:rsidRDefault="00D94466" w:rsidP="004C68AB">
      <w:r>
        <w:rPr>
          <w:b/>
          <w:bCs/>
        </w:rPr>
        <w:t xml:space="preserve">No Police Report:  </w:t>
      </w:r>
      <w:r>
        <w:t>A Police investigation is not required to obtain an exam.  If a victim does not wish to file a report with law enforcement, but wants to have physical evidence collected, the victim may receive a SART exam by contacting NHSC who will then transport the victim to the exam location.  The exam will help preserve any existing evidence in case the victim decides at a later date to file a Police report for investigation.</w:t>
      </w:r>
    </w:p>
    <w:p w14:paraId="506C4CFF" w14:textId="4BB39012" w:rsidR="00922DE1" w:rsidRPr="000210E2" w:rsidRDefault="00184633" w:rsidP="000210E2">
      <w:pPr>
        <w:pStyle w:val="Heading2"/>
        <w:rPr>
          <w:rFonts w:asciiTheme="minorHAnsi" w:hAnsiTheme="minorHAnsi" w:cstheme="minorHAnsi"/>
          <w:sz w:val="24"/>
          <w:szCs w:val="24"/>
        </w:rPr>
      </w:pPr>
      <w:bookmarkStart w:id="47" w:name="_Toc209014399"/>
      <w:r w:rsidRPr="000210E2">
        <w:rPr>
          <w:rFonts w:asciiTheme="minorHAnsi" w:hAnsiTheme="minorHAnsi" w:cstheme="minorHAnsi"/>
          <w:sz w:val="24"/>
          <w:szCs w:val="24"/>
        </w:rPr>
        <w:t>10.4</w:t>
      </w:r>
      <w:r w:rsidRPr="000210E2">
        <w:rPr>
          <w:rFonts w:asciiTheme="minorHAnsi" w:hAnsiTheme="minorHAnsi" w:cstheme="minorHAnsi"/>
          <w:sz w:val="24"/>
          <w:szCs w:val="24"/>
        </w:rPr>
        <w:tab/>
        <w:t>REPORTING OPTIONS</w:t>
      </w:r>
      <w:bookmarkEnd w:id="47"/>
    </w:p>
    <w:p w14:paraId="0DB31C18" w14:textId="77777777" w:rsidR="003E7587" w:rsidRDefault="00184633" w:rsidP="004C68AB">
      <w:r>
        <w:t xml:space="preserve">Confidential campus and community resources are available to anyone impacted by Sexual Violence.  Confidential resources provide a private space for an impacted party to discuss the incident and learn about reporting options, the </w:t>
      </w:r>
      <w:r w:rsidR="003A4C7C">
        <w:t xml:space="preserve">NHSC conduct process, and legal processes, without instigating an investigation or action by NHSC or law enforcement.  Confidential resources are not Responsible Employees and need not report information they receive while </w:t>
      </w:r>
      <w:r w:rsidR="003A4C7C">
        <w:lastRenderedPageBreak/>
        <w:t>acting in their confidential capacity</w:t>
      </w:r>
      <w:r w:rsidR="00E73DA9">
        <w:t xml:space="preserve"> to the Title IX Office.  Confidential resources on campus are the Counseling Services the designated Title IX</w:t>
      </w:r>
      <w:r w:rsidR="006D656F">
        <w:t xml:space="preserve"> Advocacy (Note that confidential resources are only exempt from reporting to the Title IX Office; they may have other mandatory reporting obligations under, the Clery Act Campus Security Authorit</w:t>
      </w:r>
      <w:r w:rsidR="003E7587">
        <w:t>y (CSA), and other policies or laws that require reporting to campus or local law enforcement, or Child Protective Services.)</w:t>
      </w:r>
    </w:p>
    <w:p w14:paraId="2F4B4D1E" w14:textId="32A98106" w:rsidR="00184633" w:rsidRDefault="003E7587" w:rsidP="004C68AB">
      <w:r>
        <w:t xml:space="preserve">Any member of the </w:t>
      </w:r>
      <w:r w:rsidR="009B2537">
        <w:t>NHSC</w:t>
      </w:r>
      <w:r>
        <w:t xml:space="preserve"> community</w:t>
      </w:r>
      <w:r w:rsidR="006D656F">
        <w:t xml:space="preserve"> </w:t>
      </w:r>
      <w:r w:rsidR="009B2537">
        <w:t>may report conduct by a student that may constitute Sexual Violence to any supervisor, manager, the Title IX Office, and/or the Title IX Officer, Dr. Constance King-Gottschall (701</w:t>
      </w:r>
      <w:r w:rsidR="006939A8">
        <w:t>-</w:t>
      </w:r>
      <w:r w:rsidR="009B2537">
        <w:t>627</w:t>
      </w:r>
      <w:r w:rsidR="006939A8">
        <w:t xml:space="preserve">-8015; </w:t>
      </w:r>
      <w:hyperlink r:id="rId24" w:history="1">
        <w:r w:rsidR="006939A8" w:rsidRPr="002D1808">
          <w:rPr>
            <w:rStyle w:val="Hyperlink"/>
            <w:color w:val="33A8FF" w:themeColor="hyperlink" w:themeTint="A6"/>
          </w:rPr>
          <w:t>cfrank@nhsc.edu</w:t>
        </w:r>
      </w:hyperlink>
      <w:r w:rsidR="006939A8">
        <w:t>).</w:t>
      </w:r>
      <w:r w:rsidR="000D0F2F">
        <w:t xml:space="preserve">  Supervisors, managers, and other designated “Responsible Employees” must promptly forward such reports to the Title IX Officer</w:t>
      </w:r>
      <w:r w:rsidR="00597049">
        <w:t xml:space="preserve"> or other staff member in the Title IX Office charged with reviewing and investigating Sexual Violence.</w:t>
      </w:r>
    </w:p>
    <w:p w14:paraId="23CB7B65" w14:textId="297D3C08" w:rsidR="00597049" w:rsidRDefault="00597049" w:rsidP="004C68AB">
      <w:r>
        <w:t>Reporting one’s personal experience with Sexual Violence to a Responsible Employee, Title IX, the Title IX Officer, or law enforcement is the decision of the impacted party.  If an act of Sexual Violence is reported to a non-confidential party at NHSC who is designated as a Responsible</w:t>
      </w:r>
      <w:r w:rsidR="005A6585">
        <w:t xml:space="preserve"> Employee, that employee must notify Title IX, which will make a determination as to whether or not a form college investigation may be necessary to address the concerns reported. (NHSC will strive to honor the stated wishes of the complainant concerning whether to move forward with an investigation and take into consideration any safe</w:t>
      </w:r>
      <w:r w:rsidR="00D81714">
        <w:t>ty concerns for the involved individuals.  There may be circumstances, however, in which NHSC</w:t>
      </w:r>
      <w:r w:rsidR="00BB3F00">
        <w:t xml:space="preserve"> may need to move forward against the complainant’s wishes, or in which NHSC</w:t>
      </w:r>
      <w:r w:rsidR="006A60FC">
        <w:t xml:space="preserve"> may determine that an investigation will not occur despite the complainant’s wish to pursue an investigation.)</w:t>
      </w:r>
    </w:p>
    <w:p w14:paraId="59AB34FB" w14:textId="3C65F592" w:rsidR="002716B8" w:rsidRDefault="002716B8" w:rsidP="004C68AB">
      <w:r>
        <w:t>NHSC encourages early reporting of incidents to either law enforcement or Title IX.  While there is no time limit</w:t>
      </w:r>
      <w:r w:rsidR="00A8206D">
        <w:t xml:space="preserve"> on the reporting of incidents to NHSC, NHSC encourages early reporting as timeliness increases the likelihood of substantiating claims and adjudicating charges.  In addition, early reporting also increases the likelihood that NHSC will be able to exercise jurisdiction over respondents who might have otherwise graduated or since left campus due to the passage of time.</w:t>
      </w:r>
    </w:p>
    <w:p w14:paraId="5DF5C9D4" w14:textId="53F31A76" w:rsidR="00A8206D" w:rsidRDefault="00A8206D" w:rsidP="004C68AB">
      <w:r>
        <w:lastRenderedPageBreak/>
        <w:t>Even if a clear decision has not been made by the impacted party as to whom to report</w:t>
      </w:r>
      <w:r w:rsidR="008A67E4">
        <w:t xml:space="preserve"> or whether to report at all, it is still important for the impacted party to preserve evidence that might be used in future invest</w:t>
      </w:r>
      <w:r w:rsidR="005B7CC6">
        <w:t>i</w:t>
      </w:r>
      <w:r w:rsidR="008A67E4">
        <w:t>gations or for obtaining</w:t>
      </w:r>
      <w:r w:rsidR="005B7CC6">
        <w:t xml:space="preserve"> a protection order.  This includes limiting the use of the restroom, and not bathing or show</w:t>
      </w:r>
      <w:r w:rsidR="0038794F">
        <w:t>ering, changing clothes, combing hair, cleaning up the crime scene, or moving anything the suspect might have touched (until the evidence had been collected).  Evidence is most effectively collected via a sexual assault forensic exam.</w:t>
      </w:r>
    </w:p>
    <w:p w14:paraId="48FF123A" w14:textId="513170B4" w:rsidR="0038794F" w:rsidRDefault="0038794F" w:rsidP="004C68AB">
      <w:r>
        <w:t>Additional efforts may also include writing down details about the incident(s), saving any communications (electronic, voice, text, or otherwise) from involved parties, and capturing a copy of any relevant online information (social media posts or messages).</w:t>
      </w:r>
    </w:p>
    <w:p w14:paraId="7619DB4C" w14:textId="41A8FCBB" w:rsidR="001B0902" w:rsidRDefault="001B0902" w:rsidP="004C68AB">
      <w:r>
        <w:t xml:space="preserve">Parties </w:t>
      </w:r>
      <w:r w:rsidR="006211AE">
        <w:t>impacted by Sexual Violence may pursue any of the following reporting options:</w:t>
      </w:r>
    </w:p>
    <w:p w14:paraId="5F27AD78" w14:textId="151F4EE0" w:rsidR="006211AE" w:rsidRPr="00805D17" w:rsidRDefault="00805D17" w:rsidP="006A64BD">
      <w:pPr>
        <w:pStyle w:val="ListParagraph"/>
        <w:numPr>
          <w:ilvl w:val="0"/>
          <w:numId w:val="41"/>
        </w:numPr>
      </w:pPr>
      <w:r>
        <w:rPr>
          <w:b/>
          <w:bCs/>
        </w:rPr>
        <w:t>Make No Report</w:t>
      </w:r>
    </w:p>
    <w:p w14:paraId="2D0AABCE" w14:textId="58D0F3D7" w:rsidR="008855BF" w:rsidRDefault="00375DF8" w:rsidP="008855BF">
      <w:pPr>
        <w:ind w:left="360"/>
      </w:pPr>
      <w:r>
        <w:t xml:space="preserve">Although NHSC encourages the timely reporting of all crimes, individuals impacted by Sexual Violence are not required to report to Police, Title IX, or any other campus office.  Understanding that reporting is an intensely personal process, NHSC respects the right of the impacted party to decide whether to report. (Seeking support through </w:t>
      </w:r>
      <w:r w:rsidR="008855BF">
        <w:t>counseling does not trigger a report to law enforcement or NHSC; a report to Local Law Enforcement Agencies will not be made unless the individual impacted by Sexual Violence chooses to do so.)</w:t>
      </w:r>
    </w:p>
    <w:p w14:paraId="785DE424" w14:textId="268AF3DA" w:rsidR="008855BF" w:rsidRDefault="00DE5AD7" w:rsidP="006A64BD">
      <w:pPr>
        <w:pStyle w:val="ListParagraph"/>
        <w:numPr>
          <w:ilvl w:val="0"/>
          <w:numId w:val="41"/>
        </w:numPr>
        <w:rPr>
          <w:b/>
          <w:bCs/>
        </w:rPr>
      </w:pPr>
      <w:r>
        <w:rPr>
          <w:b/>
          <w:bCs/>
        </w:rPr>
        <w:t>Report to Law Enforcement and Request Prosecution</w:t>
      </w:r>
    </w:p>
    <w:p w14:paraId="5C6EA525" w14:textId="435C312A" w:rsidR="00DE5AD7" w:rsidRDefault="00CE7658" w:rsidP="00CE7658">
      <w:pPr>
        <w:ind w:left="360"/>
      </w:pPr>
      <w:r>
        <w:t>Impacted parties have the right to report incidents of Sexual Violence to law enforcement.  If the incident happened on NHSC property, a report may be made to the Campus Safety Offic</w:t>
      </w:r>
      <w:r w:rsidR="005C4CA9">
        <w:t>e (NHSC).  If the incident happened off campus, a report may be made to the correspon</w:t>
      </w:r>
      <w:r w:rsidR="00CE138A">
        <w:t>ding local law enforcement agency or NHSC.  (Any policy agency can receive a report and will assist the victim and make sure the appropriate agency becomes involved.)</w:t>
      </w:r>
    </w:p>
    <w:p w14:paraId="49D648FB" w14:textId="410B64E0" w:rsidR="00CE138A" w:rsidRDefault="00CE138A" w:rsidP="00CE7658">
      <w:pPr>
        <w:ind w:left="360"/>
      </w:pPr>
      <w:r>
        <w:lastRenderedPageBreak/>
        <w:t>NHSC provides a timely response for all reports of Sexual Violence.  In addition to emergency response, NHSC conducts trauma</w:t>
      </w:r>
      <w:r w:rsidR="00080241">
        <w:t>-informed investigations of Sexual Violence.  The preservation of evidence is ess</w:t>
      </w:r>
      <w:r w:rsidR="0098451E">
        <w:t>en</w:t>
      </w:r>
      <w:r w:rsidR="00080241">
        <w:t xml:space="preserve">tial to the successful </w:t>
      </w:r>
      <w:r w:rsidR="0098451E">
        <w:t>investigation and prosecution of Sexual Violence.  NHSC personnel have been specifically trained in the proper handling, identification, collection and preservation of such evidence.  NHSC can ass</w:t>
      </w:r>
      <w:r w:rsidR="0051636A">
        <w:t>ist victims by arranging for a forensic exam in order to provide admissible evidence</w:t>
      </w:r>
      <w:r w:rsidR="00EE0B70">
        <w:t xml:space="preserve"> when the person reporting the act of Sexual Violence desires prosecution through the criminal justice system.  If the impacted party was under the influence </w:t>
      </w:r>
      <w:r w:rsidR="00A777A8">
        <w:t>of alcohol or drugs, this may be relevant to the case and should be disclosed to the Police.</w:t>
      </w:r>
    </w:p>
    <w:p w14:paraId="750F78DB" w14:textId="1F7B9A16" w:rsidR="00A777A8" w:rsidRDefault="00575AE0" w:rsidP="00CE7658">
      <w:pPr>
        <w:ind w:left="360"/>
      </w:pPr>
      <w:r>
        <w:t xml:space="preserve">Victims of Sexual </w:t>
      </w:r>
      <w:r w:rsidR="000B4052">
        <w:t>Violence</w:t>
      </w:r>
      <w:r>
        <w:t xml:space="preserve"> may request that the Police not release personally identifiable information such as name, address, phone numbers, and date of birth, in publicly avai</w:t>
      </w:r>
      <w:r w:rsidR="00201CEC">
        <w:t>lable record keeping.  This will ensure a degree of confidentiality but does not guarantee complete anonymity.  Per the Violence Against Women Act of 1994, the Campus Safety Office will not release personally identifiable information in alerts that are issued to the campus community, nor information released to the media.</w:t>
      </w:r>
    </w:p>
    <w:p w14:paraId="0A95A3B7" w14:textId="792EFCBB" w:rsidR="00201CEC" w:rsidRDefault="00201CEC" w:rsidP="00CE7658">
      <w:pPr>
        <w:ind w:left="360"/>
      </w:pPr>
      <w:r>
        <w:t>Although it is never too late to file a Policy report, it is highly recommended to report Sexual Violence as soon as possible in order to allow for the collection of evidence.</w:t>
      </w:r>
      <w:r w:rsidR="000F7CBD">
        <w:t xml:space="preserve">  When a report is made to NHSC, an investigating officer trained in Sexual Violence cases will be dispatched to the scene and will explain the Police procedures.  If it is determined that a SART exam is advisable, the Police will assist with transportation and contacting the Sexual Assault Nurse Examiner, who will conduct the exam.  The officer will inform the victim</w:t>
      </w:r>
      <w:r w:rsidR="00A710B8">
        <w:t xml:space="preserve"> that they have the right to have a support person present during the investigative interview.  Detectives will assist with the </w:t>
      </w:r>
      <w:r w:rsidR="00F15F63">
        <w:t>investigation and proper evidence collection.</w:t>
      </w:r>
    </w:p>
    <w:p w14:paraId="0C409572" w14:textId="10BD7599" w:rsidR="00A32920" w:rsidRDefault="00F15F63" w:rsidP="00D7082C">
      <w:pPr>
        <w:ind w:left="360"/>
      </w:pPr>
      <w:r>
        <w:t>At the conclusion of the Police investigation, the case may be forwarded to the Mountrail District Attorney’s (DA’s) office for review.  The DA’s office makes the final decision whether</w:t>
      </w:r>
      <w:r w:rsidR="00723EF2">
        <w:t xml:space="preserve"> to criminally prosecute the suspect.  If the DA’s office does not move forward with the complaint, the victim ma</w:t>
      </w:r>
      <w:r w:rsidR="00A32920">
        <w:t>y request that a Victim Advocate from the Victim-Witness Assistance Program accompany them to the DA’s office for a meeting to discuss the decision.</w:t>
      </w:r>
    </w:p>
    <w:p w14:paraId="5EA1B111" w14:textId="10A2EBE2" w:rsidR="00A05451" w:rsidRPr="00AE5FDF" w:rsidRDefault="00D7082C" w:rsidP="00AE5FDF">
      <w:pPr>
        <w:ind w:left="360"/>
      </w:pPr>
      <w:r>
        <w:lastRenderedPageBreak/>
        <w:t>NHSC encourages the NHSC community, including students, to immediately contact them by dialing (701) 627-</w:t>
      </w:r>
      <w:r w:rsidR="005E670E">
        <w:t>8052 to report Sexual Violence.  The NHSC Campus Safety Office is located at the main entrance of NHSC in Door C.</w:t>
      </w:r>
    </w:p>
    <w:p w14:paraId="2993E2E5" w14:textId="7C12B3E9" w:rsidR="005E670E" w:rsidRDefault="009626FB" w:rsidP="006A64BD">
      <w:pPr>
        <w:pStyle w:val="ListParagraph"/>
        <w:numPr>
          <w:ilvl w:val="0"/>
          <w:numId w:val="41"/>
        </w:numPr>
        <w:rPr>
          <w:b/>
          <w:bCs/>
        </w:rPr>
      </w:pPr>
      <w:r>
        <w:rPr>
          <w:b/>
          <w:bCs/>
        </w:rPr>
        <w:t>File a Criminal Report with Law Enforcement without Requesting Prosecution</w:t>
      </w:r>
    </w:p>
    <w:p w14:paraId="5C6FF177" w14:textId="2F7D8F25" w:rsidR="009626FB" w:rsidRDefault="009626FB" w:rsidP="009626FB">
      <w:pPr>
        <w:ind w:left="360"/>
      </w:pPr>
      <w:r>
        <w:t xml:space="preserve">In some </w:t>
      </w:r>
      <w:r w:rsidR="000B4052">
        <w:t>cases</w:t>
      </w:r>
      <w:r>
        <w:t xml:space="preserve">, reports to law enforcement </w:t>
      </w:r>
      <w:r w:rsidR="00D25482">
        <w:t>may</w:t>
      </w:r>
      <w:r>
        <w:t xml:space="preserve"> be made for documentation purposes only.  Ultimately, the decision to prosecute will be made by the District Attorney, although the cooperation of the victim is considered necessary.</w:t>
      </w:r>
    </w:p>
    <w:p w14:paraId="268C7395" w14:textId="600E7EA3" w:rsidR="009626FB" w:rsidRDefault="009626FB" w:rsidP="006A64BD">
      <w:pPr>
        <w:pStyle w:val="ListParagraph"/>
        <w:numPr>
          <w:ilvl w:val="0"/>
          <w:numId w:val="41"/>
        </w:numPr>
        <w:rPr>
          <w:b/>
          <w:bCs/>
        </w:rPr>
      </w:pPr>
      <w:r>
        <w:rPr>
          <w:b/>
          <w:bCs/>
        </w:rPr>
        <w:t>File a Complaint with</w:t>
      </w:r>
      <w:r w:rsidR="00415926">
        <w:rPr>
          <w:b/>
          <w:bCs/>
        </w:rPr>
        <w:t xml:space="preserve"> the NHSC Title IX Office</w:t>
      </w:r>
    </w:p>
    <w:p w14:paraId="21D9E487" w14:textId="77B0C2DF" w:rsidR="00415926" w:rsidRDefault="00415926" w:rsidP="00415926">
      <w:pPr>
        <w:ind w:left="360"/>
      </w:pPr>
      <w:r>
        <w:t xml:space="preserve">NHSC encourages all complainants to report acts of Sexual Violence to Title IX as soon as possible after it occurred, regardless of whether it occurred on or off campus, in order for appropriate and timely action to be taken.  Complainants may request an NHSC investigation from Title IX, whether or not a report has been filed with the Police.  Title IX is the </w:t>
      </w:r>
      <w:r w:rsidR="00A8646D">
        <w:t xml:space="preserve">NHSC office responsible for conducting neutral, administrative (i.e., non-criminal) investigations of all reports of Sexual Violence to determine if the </w:t>
      </w:r>
      <w:r w:rsidR="00A8646D">
        <w:rPr>
          <w:i/>
          <w:iCs/>
        </w:rPr>
        <w:t>NHSC SVSH Policy</w:t>
      </w:r>
      <w:r w:rsidR="00A8646D">
        <w:t xml:space="preserve"> has been violated.</w:t>
      </w:r>
    </w:p>
    <w:p w14:paraId="145DB199" w14:textId="414B3683" w:rsidR="00A8646D" w:rsidRDefault="00A8646D" w:rsidP="00415926">
      <w:pPr>
        <w:ind w:left="360"/>
      </w:pPr>
      <w:r>
        <w:t>Title IX investigators meet with complainants to discuss their rights, options, and any supportive measure appropriate.  If a complainant wishes to make a report to Title IX, Title IX investigators will conduct an initial assessment to determine the most appropriate response.  The complainant’s desired response and outcome will be considered.  If an investigation occurs</w:t>
      </w:r>
      <w:r w:rsidR="000E094B">
        <w:t>, Title IX will produce an Investigative Report based on the preponderance of the evidence standard, and for that report to the appropriate campus official(s) for ad</w:t>
      </w:r>
      <w:r w:rsidR="00257BF2">
        <w:t>judication.</w:t>
      </w:r>
    </w:p>
    <w:p w14:paraId="5DB57B85" w14:textId="0742CE52" w:rsidR="00257BF2" w:rsidRDefault="00257BF2" w:rsidP="00415926">
      <w:pPr>
        <w:ind w:left="360"/>
      </w:pPr>
      <w:r>
        <w:t>A note about student amnesty:  Student complainants</w:t>
      </w:r>
      <w:r w:rsidR="00D60778">
        <w:t xml:space="preserve"> and witnesses who participate in an investigation of Sexual Violence</w:t>
      </w:r>
      <w:r w:rsidR="00314467">
        <w:t xml:space="preserve"> will not</w:t>
      </w:r>
      <w:r w:rsidR="00BF22E9">
        <w:t xml:space="preserve"> be subject to disciplinary sanction for a violation</w:t>
      </w:r>
      <w:r w:rsidR="00B43095">
        <w:t xml:space="preserve"> of </w:t>
      </w:r>
      <w:r w:rsidR="00633D3D">
        <w:t>the NHSC student conduct policy at or near the time of the incident, unless the institution determines that the violation was egregious, inc</w:t>
      </w:r>
      <w:r w:rsidR="00744D4F">
        <w:t xml:space="preserve">luding, but not limited to, an action that </w:t>
      </w:r>
      <w:r w:rsidR="00744D4F">
        <w:lastRenderedPageBreak/>
        <w:t>places the health or safety of any other person at risk or involves plagiarism, cheating, or academic dishonesty.</w:t>
      </w:r>
    </w:p>
    <w:p w14:paraId="60E68200" w14:textId="554C6451" w:rsidR="00744D4F" w:rsidRDefault="00744D4F" w:rsidP="00415926">
      <w:pPr>
        <w:ind w:left="360"/>
      </w:pPr>
      <w:r>
        <w:t xml:space="preserve">Any complainant who reports Sexual Violence, regardless of whether the offense occurred on or off campus, will be provided with a written explanation of their rights, options, and responses.  The NHSC Title IX </w:t>
      </w:r>
      <w:r>
        <w:rPr>
          <w:i/>
          <w:iCs/>
        </w:rPr>
        <w:t>Rights, Options, and Resources for Impacted Parties</w:t>
      </w:r>
      <w:r w:rsidR="00916C5C">
        <w:rPr>
          <w:i/>
          <w:iCs/>
        </w:rPr>
        <w:t xml:space="preserve"> </w:t>
      </w:r>
      <w:r w:rsidR="00916C5C">
        <w:t>guide, provided to all complainants and respondent</w:t>
      </w:r>
      <w:r w:rsidR="0009699C">
        <w:t>s, includes information about reporting, safety, accommodations, resources, and the NHSC response procedures for violations of policy, as well as the rights and responsibilities of complainants and respondents.  It also includes contact information for counseling, health assistance, mental health assistance, victim advocacy, legal assistance, visa and immigration assistance, student financial aid assistance</w:t>
      </w:r>
      <w:r w:rsidR="007D517A">
        <w:t>, and other services available both on campus and in the community, as well as contact information for offices that can provide assistance with supportive, remedial</w:t>
      </w:r>
      <w:r w:rsidR="00C14E36">
        <w:t>,</w:t>
      </w:r>
      <w:r w:rsidR="00B671E2">
        <w:t xml:space="preserve"> and other protective measures, and information about how to request these measures.</w:t>
      </w:r>
    </w:p>
    <w:p w14:paraId="25B7F629" w14:textId="21FD974F" w:rsidR="00B671E2" w:rsidRDefault="00B671E2" w:rsidP="00415926">
      <w:pPr>
        <w:ind w:left="360"/>
      </w:pPr>
      <w:r>
        <w:t>The Title IX Officer, in coordination with the Case Management Team, will make an immediate assessment concerning the health and safety of the complainant (and other affected parties)</w:t>
      </w:r>
      <w:r w:rsidR="00F17586">
        <w:t xml:space="preserve"> and the campus community, and implement supportive measures or safety measures deemed immediately necessary.</w:t>
      </w:r>
    </w:p>
    <w:p w14:paraId="291320E4" w14:textId="577CA461" w:rsidR="00F17586" w:rsidRDefault="006775F0" w:rsidP="00415926">
      <w:pPr>
        <w:ind w:left="360"/>
      </w:pPr>
      <w:r>
        <w:t xml:space="preserve">Many campus offices can assist complainants with obtaining supportive measures; they include the </w:t>
      </w:r>
      <w:r w:rsidR="00E718DA">
        <w:t>Office of Student Services</w:t>
      </w:r>
      <w:r>
        <w:t xml:space="preserve">, Human Resources, Title IX, and others.  Supportive measures include No-Contact Orders; safety escorts; and changes to academic, living, transportation, and working situations.  Complainants with questions or concerns about their ability to obtain requested </w:t>
      </w:r>
      <w:r w:rsidR="000B4052">
        <w:t>support</w:t>
      </w:r>
      <w:r w:rsidR="00C00FA7">
        <w:t>, remedial, or other protective measures should contact Title IX.</w:t>
      </w:r>
    </w:p>
    <w:p w14:paraId="6992E492" w14:textId="12ADE310" w:rsidR="00926C7F" w:rsidRDefault="00926C7F" w:rsidP="00E718DA">
      <w:pPr>
        <w:ind w:left="360"/>
      </w:pPr>
      <w:r>
        <w:t>Title IX is available Monday through Friday, 8:00 a.m. to 5:00 p.m.: (701) 627-8015,</w:t>
      </w:r>
      <w:r w:rsidR="00E718DA">
        <w:t xml:space="preserve"> </w:t>
      </w:r>
      <w:hyperlink r:id="rId25" w:history="1">
        <w:r w:rsidR="00E718DA" w:rsidRPr="008A32BF">
          <w:rPr>
            <w:rStyle w:val="Hyperlink"/>
          </w:rPr>
          <w:t>Cfrank@nhsc.edu</w:t>
        </w:r>
      </w:hyperlink>
      <w:r w:rsidR="00E718DA">
        <w:t>.</w:t>
      </w:r>
    </w:p>
    <w:p w14:paraId="427AB9D9" w14:textId="77777777" w:rsidR="00EC1898" w:rsidRDefault="00EC1898" w:rsidP="00E718DA">
      <w:pPr>
        <w:ind w:left="360"/>
      </w:pPr>
    </w:p>
    <w:p w14:paraId="6242E71D" w14:textId="6A9384C2" w:rsidR="00926C7F" w:rsidRDefault="00652964" w:rsidP="006A64BD">
      <w:pPr>
        <w:pStyle w:val="ListParagraph"/>
        <w:numPr>
          <w:ilvl w:val="0"/>
          <w:numId w:val="41"/>
        </w:numPr>
        <w:rPr>
          <w:b/>
          <w:bCs/>
        </w:rPr>
      </w:pPr>
      <w:r>
        <w:rPr>
          <w:b/>
          <w:bCs/>
        </w:rPr>
        <w:lastRenderedPageBreak/>
        <w:t xml:space="preserve"> Report to Both Law Enforcement and Title IX</w:t>
      </w:r>
    </w:p>
    <w:p w14:paraId="04838D6F" w14:textId="01024B5C" w:rsidR="00652964" w:rsidRDefault="00330298" w:rsidP="00652964">
      <w:pPr>
        <w:ind w:left="360"/>
      </w:pPr>
      <w:r>
        <w:t>Due to privacy laws and jurisdictional issues, law enforcement is not always a</w:t>
      </w:r>
      <w:r w:rsidR="00A21337">
        <w:t>ble to share reports of Sexual Violence with NHSC.  Therefore, I the victim has reported to law enforcement and also desires NHSC to review the case for investigation and</w:t>
      </w:r>
      <w:r w:rsidR="0006063E">
        <w:t xml:space="preserve"> possible adjudication, they must also report their complaint to Title IX.  The two fact-finding investigations will be coordinat</w:t>
      </w:r>
      <w:r w:rsidR="00A3366B">
        <w:t xml:space="preserve">ed to the best of the Title IX investigator’s abilities.  At the request of law enforcement, </w:t>
      </w:r>
      <w:r w:rsidR="001203F1">
        <w:t>the NHSC investigation may be delayed as needed to meet any specific needs of the criminal</w:t>
      </w:r>
      <w:r w:rsidR="007645A6">
        <w:t xml:space="preserve"> investigation.  Such a delay may be </w:t>
      </w:r>
      <w:r w:rsidR="00FA1B78">
        <w:t>caused</w:t>
      </w:r>
      <w:r w:rsidR="007645A6">
        <w:t xml:space="preserve"> for extending the NHSC timelines to complete the process.  Delays will be communicated to all parties and documented by the Title IX investigator.</w:t>
      </w:r>
    </w:p>
    <w:p w14:paraId="64DEBCB2" w14:textId="1B7563EF" w:rsidR="007645A6" w:rsidRDefault="007645A6" w:rsidP="006A64BD">
      <w:pPr>
        <w:pStyle w:val="ListParagraph"/>
        <w:numPr>
          <w:ilvl w:val="0"/>
          <w:numId w:val="41"/>
        </w:numPr>
        <w:rPr>
          <w:b/>
          <w:bCs/>
        </w:rPr>
      </w:pPr>
      <w:r>
        <w:rPr>
          <w:b/>
          <w:bCs/>
        </w:rPr>
        <w:t>Make an Ano</w:t>
      </w:r>
      <w:r w:rsidR="00075DFA">
        <w:rPr>
          <w:b/>
          <w:bCs/>
        </w:rPr>
        <w:t>nymous Report</w:t>
      </w:r>
    </w:p>
    <w:p w14:paraId="4794937F" w14:textId="2C99A7CD" w:rsidR="00075DFA" w:rsidRDefault="00075DFA" w:rsidP="00075DFA">
      <w:pPr>
        <w:ind w:left="360"/>
      </w:pPr>
      <w:r>
        <w:t xml:space="preserve">Reports can be made without names included.  Without any identifying information, however, </w:t>
      </w:r>
      <w:r w:rsidR="00554970">
        <w:t>NHSC may be unable to respond fully to the reported incident.  In most cases, it is unlikely that an anonymous report to Title IX would lead to an investigation or disciplinary action against the alleged respondent.</w:t>
      </w:r>
      <w:r w:rsidR="00882287" w:rsidRPr="00882287">
        <w:t xml:space="preserve"> </w:t>
      </w:r>
      <w:r w:rsidR="00882287">
        <w:t>(</w:t>
      </w:r>
      <w:hyperlink r:id="rId26" w:history="1">
        <w:r w:rsidR="00882287" w:rsidRPr="00ED664F">
          <w:rPr>
            <w:rStyle w:val="Hyperlink"/>
          </w:rPr>
          <w:t>www.nhsc.edu/students/campus-security/</w:t>
        </w:r>
      </w:hyperlink>
      <w:r w:rsidR="00882287">
        <w:t>)</w:t>
      </w:r>
      <w:r w:rsidR="00AD7960">
        <w:t xml:space="preserve"> </w:t>
      </w:r>
    </w:p>
    <w:p w14:paraId="422986E7" w14:textId="0275B584" w:rsidR="00554970" w:rsidRPr="00AE5FDF" w:rsidRDefault="00080657" w:rsidP="00AE5FDF">
      <w:pPr>
        <w:pStyle w:val="Heading2"/>
        <w:rPr>
          <w:rFonts w:asciiTheme="minorHAnsi" w:hAnsiTheme="minorHAnsi" w:cstheme="minorHAnsi"/>
          <w:sz w:val="24"/>
          <w:szCs w:val="24"/>
        </w:rPr>
      </w:pPr>
      <w:bookmarkStart w:id="48" w:name="_Toc209014400"/>
      <w:r w:rsidRPr="00AE5FDF">
        <w:rPr>
          <w:rFonts w:asciiTheme="minorHAnsi" w:hAnsiTheme="minorHAnsi" w:cstheme="minorHAnsi"/>
          <w:sz w:val="24"/>
          <w:szCs w:val="24"/>
        </w:rPr>
        <w:t>10.5</w:t>
      </w:r>
      <w:r w:rsidRPr="00AE5FDF">
        <w:rPr>
          <w:rFonts w:asciiTheme="minorHAnsi" w:hAnsiTheme="minorHAnsi" w:cstheme="minorHAnsi"/>
          <w:sz w:val="24"/>
          <w:szCs w:val="24"/>
        </w:rPr>
        <w:tab/>
        <w:t>SUPPORTIVE, REMEDIAL, AND OTHER PROTECTIVE MEASURE</w:t>
      </w:r>
      <w:bookmarkEnd w:id="48"/>
    </w:p>
    <w:p w14:paraId="2632B0EA" w14:textId="0E7941B8" w:rsidR="00080657" w:rsidRDefault="00080657" w:rsidP="00080657">
      <w:r>
        <w:t xml:space="preserve">Regardless of whether a party impacted by Sexual Violence pursues an investigation with Police or Title IX, upon request, NHSC, Title IX, and/or CARE personnel will </w:t>
      </w:r>
      <w:r w:rsidR="00D503BB">
        <w:t>help impacted parties obtain supportive and remedial measures.  Supportive measures are services, accommodations, or other measures implemented to restore or preserve a party’s access to an NHSC program or activity or deter Prohibited Conduct.  Remedial measures are services, accommodations, and other measures put in place as a result of a completed Title IX resolution process.</w:t>
      </w:r>
    </w:p>
    <w:p w14:paraId="5704534B" w14:textId="18AA1ACA" w:rsidR="00D503BB" w:rsidRDefault="00D503BB" w:rsidP="00080657">
      <w:r>
        <w:t xml:space="preserve">Parties with questions or concerns about their ability to obtain requested supportive measures should contact Title IX at (701) 627-8015.  Title IX will grant, facilitate, and ensure the enforcement of reasonable supportive measures if the complainant requests them and if they </w:t>
      </w:r>
      <w:r>
        <w:lastRenderedPageBreak/>
        <w:t>are reasonably available, regardless of whether the complainant</w:t>
      </w:r>
      <w:r w:rsidR="00F32D6A">
        <w:t xml:space="preserve"> chooses to report the crime to NHSC or other law enforcement agency.</w:t>
      </w:r>
    </w:p>
    <w:p w14:paraId="01830BC5" w14:textId="77777777" w:rsidR="00FF5A1A" w:rsidRDefault="00F32D6A" w:rsidP="00080657">
      <w:r>
        <w:t xml:space="preserve">Title IX will tailor supportive measures to the circumstances of each case, minimize burdens on the parties, and avoid depriving the parties of educational and </w:t>
      </w:r>
      <w:r w:rsidR="00A80162">
        <w:t>employment opportunities as much as practicable.  In matters involving DOE-</w:t>
      </w:r>
      <w:r w:rsidR="00A25C28">
        <w:t xml:space="preserve">Covered Conduct, the Title IX Officer will ensure supportive measures are non-disciplinary and non-punitive, and that they do not unreasonably burden a party.  </w:t>
      </w:r>
    </w:p>
    <w:p w14:paraId="36962659" w14:textId="6C5CE9E6" w:rsidR="00F32D6A" w:rsidRDefault="00A25C28" w:rsidP="00080657">
      <w:r>
        <w:t>Title IX will maintain as confidential any supportive measures provided to the parties</w:t>
      </w:r>
      <w:r w:rsidR="00BA0B6E">
        <w:t>, to the extent such confidentiality does not impair Title IX’s ability to provide the measures.  In some cases, Title IX may</w:t>
      </w:r>
      <w:r w:rsidR="00033F18">
        <w:t xml:space="preserve"> need to disclose som</w:t>
      </w:r>
      <w:r w:rsidR="00ED3933">
        <w:t>e information about an impacted party to a third party to provide necessary accommodations.</w:t>
      </w:r>
    </w:p>
    <w:p w14:paraId="0B0CF006" w14:textId="45D17248" w:rsidR="00ED3933" w:rsidRDefault="00ED3933" w:rsidP="00080657">
      <w:pPr>
        <w:rPr>
          <w:b/>
          <w:bCs/>
        </w:rPr>
      </w:pPr>
      <w:r>
        <w:rPr>
          <w:b/>
          <w:bCs/>
        </w:rPr>
        <w:t>Supportive Measures for Students</w:t>
      </w:r>
    </w:p>
    <w:p w14:paraId="73C05684" w14:textId="1AE9DACC" w:rsidR="00ED3933" w:rsidRDefault="00ED3933" w:rsidP="00080657">
      <w:r>
        <w:t>Parties may contact Title IX (701)</w:t>
      </w:r>
      <w:r w:rsidR="00BA5717">
        <w:t xml:space="preserve"> 627-8015 to request academic assistance, such as </w:t>
      </w:r>
      <w:r w:rsidR="000B4052">
        <w:t>accommodation</w:t>
      </w:r>
      <w:r w:rsidR="00BA5717">
        <w:t xml:space="preserve"> for missed classes or exams, or help with rearranging course schedules.</w:t>
      </w:r>
    </w:p>
    <w:p w14:paraId="414BA1E9" w14:textId="7D9BFFE1" w:rsidR="008929F9" w:rsidRDefault="008929F9" w:rsidP="00080657">
      <w:r>
        <w:t>Supportive measures for students include NHSC-issu</w:t>
      </w:r>
      <w:r w:rsidR="00056F9E">
        <w:t>ed No -Contact Orders.  Student complainants may request</w:t>
      </w:r>
      <w:r w:rsidR="00177910">
        <w:t xml:space="preserve"> a No-Contact Order from the </w:t>
      </w:r>
      <w:r w:rsidR="00E718DA">
        <w:t>Office of Student Services</w:t>
      </w:r>
      <w:r w:rsidR="00177910">
        <w:t xml:space="preserve"> if the respondent is a NHSC student.  This may be coordinated through the Student Conduct Office.  The </w:t>
      </w:r>
      <w:r w:rsidR="00E718DA">
        <w:t>Office of Student Services</w:t>
      </w:r>
      <w:r w:rsidR="00177910">
        <w:t xml:space="preserve"> will meet with the involved parties separately when issuing a No-Contact Order.  A No-Contact Order may be requested whether or not a </w:t>
      </w:r>
      <w:r w:rsidR="00424EBA">
        <w:t xml:space="preserve">report has been made to law enforcement or Title IX.  The </w:t>
      </w:r>
      <w:r w:rsidR="00E718DA">
        <w:t>Office of Student Services</w:t>
      </w:r>
      <w:r w:rsidR="00424EBA">
        <w:t xml:space="preserve">, however, is required to share the information with Title IX.  Persons in </w:t>
      </w:r>
      <w:r w:rsidR="006C3E40">
        <w:t xml:space="preserve">need of assistance with obtaining, enforcing, or getting information about No-Contact Orders may contact the </w:t>
      </w:r>
      <w:r w:rsidR="00E718DA">
        <w:t>Office of Student Services</w:t>
      </w:r>
      <w:r w:rsidR="006C3E40">
        <w:t xml:space="preserve"> (701) 627-8015.</w:t>
      </w:r>
    </w:p>
    <w:p w14:paraId="549EBC0B" w14:textId="77777777" w:rsidR="000B4052" w:rsidRDefault="000B4052" w:rsidP="00080657">
      <w:pPr>
        <w:rPr>
          <w:b/>
          <w:bCs/>
        </w:rPr>
      </w:pPr>
    </w:p>
    <w:p w14:paraId="7A48B2F7" w14:textId="77777777" w:rsidR="000B4052" w:rsidRDefault="000B4052" w:rsidP="00080657">
      <w:pPr>
        <w:rPr>
          <w:b/>
          <w:bCs/>
        </w:rPr>
      </w:pPr>
    </w:p>
    <w:p w14:paraId="794F9D87" w14:textId="68A0C23E" w:rsidR="00141246" w:rsidRDefault="00141246" w:rsidP="00080657">
      <w:pPr>
        <w:rPr>
          <w:b/>
          <w:bCs/>
        </w:rPr>
      </w:pPr>
      <w:r>
        <w:rPr>
          <w:b/>
          <w:bCs/>
        </w:rPr>
        <w:lastRenderedPageBreak/>
        <w:t>Supportive Measures for Employees, Including Student Employees</w:t>
      </w:r>
    </w:p>
    <w:p w14:paraId="45370997" w14:textId="63CA4CE6" w:rsidR="00141246" w:rsidRDefault="00833458" w:rsidP="00080657">
      <w:r>
        <w:t xml:space="preserve">To enhance the safety and wellness of an impacted party, </w:t>
      </w:r>
      <w:r w:rsidR="000B4052">
        <w:t>accommodation</w:t>
      </w:r>
      <w:r>
        <w:t xml:space="preserve"> to alter</w:t>
      </w:r>
      <w:r w:rsidR="00C84199">
        <w:t xml:space="preserve"> an individual’s schedule, to change a work location, or to access leave balances </w:t>
      </w:r>
      <w:r w:rsidR="00D35A49">
        <w:t xml:space="preserve">to cover absences that relate to matters covered by the </w:t>
      </w:r>
      <w:r w:rsidR="00D35A49">
        <w:rPr>
          <w:i/>
          <w:iCs/>
        </w:rPr>
        <w:t xml:space="preserve">NHSC SVSH Policy </w:t>
      </w:r>
      <w:r w:rsidR="00F916C4">
        <w:t>may be requested.  These reports should be made to the individual’s direct supervisor</w:t>
      </w:r>
      <w:r w:rsidR="00AE26C9">
        <w:t xml:space="preserve"> and may be coordinated through Title IX, regardless of whether or not a formal</w:t>
      </w:r>
      <w:r w:rsidR="00492FC3">
        <w:t xml:space="preserve"> report is made to Title IX or law enforcement.</w:t>
      </w:r>
    </w:p>
    <w:p w14:paraId="4F0BD461" w14:textId="2332C520" w:rsidR="00492FC3" w:rsidRDefault="00492FC3" w:rsidP="00080657">
      <w:pPr>
        <w:rPr>
          <w:b/>
          <w:bCs/>
        </w:rPr>
      </w:pPr>
      <w:r>
        <w:rPr>
          <w:b/>
          <w:bCs/>
        </w:rPr>
        <w:t>Other Protective Measures</w:t>
      </w:r>
    </w:p>
    <w:p w14:paraId="30D22E4E" w14:textId="77777777" w:rsidR="00F8004C" w:rsidRDefault="00492FC3" w:rsidP="00080657">
      <w:r>
        <w:t>Non-</w:t>
      </w:r>
      <w:r w:rsidR="00F8004C">
        <w:t>college (NHSC) protective measures, including Emergency Protective Orders and Civil Protection Orders, are available to complainants concerned about their safety.  For more information about obtaining and enforcing these protective measures, contact the Campus Safety Office (701) 627-8052 or Title IX (701) 627-8015.  NHSC will comply with any orders that are obtained.</w:t>
      </w:r>
    </w:p>
    <w:p w14:paraId="465DC777" w14:textId="77777777" w:rsidR="002426DA" w:rsidRDefault="002426DA" w:rsidP="00080657">
      <w:pPr>
        <w:rPr>
          <w:color w:val="0072C6" w:themeColor="accent1"/>
        </w:rPr>
      </w:pPr>
      <w:r>
        <w:rPr>
          <w:color w:val="0072C6" w:themeColor="accent1"/>
        </w:rPr>
        <w:t>Emergency Protective Order:</w:t>
      </w:r>
    </w:p>
    <w:p w14:paraId="233A3F9E" w14:textId="6D37606B" w:rsidR="00492FC3" w:rsidRDefault="002426DA" w:rsidP="00080657">
      <w:r>
        <w:t>Impacted parties may request an Emergency Protective Order</w:t>
      </w:r>
      <w:r w:rsidR="0004359E">
        <w:t xml:space="preserve"> from the Campus Safety Office, or any law enforcement agency, if there is an immediate threat to their safety and a Policy report is being taken.  Before the expiration of the Emergency Protective Order, or in all other situations</w:t>
      </w:r>
      <w:r w:rsidR="0065468F">
        <w:t xml:space="preserve"> in which a protective order is needed, a Temporary Restraining Order should be requested.</w:t>
      </w:r>
    </w:p>
    <w:p w14:paraId="74AEA6BB" w14:textId="1BF00CDB" w:rsidR="0065468F" w:rsidRDefault="00BD0F03" w:rsidP="00080657">
      <w:pPr>
        <w:rPr>
          <w:color w:val="0072C6" w:themeColor="accent1"/>
        </w:rPr>
      </w:pPr>
      <w:r>
        <w:rPr>
          <w:color w:val="0072C6" w:themeColor="accent1"/>
        </w:rPr>
        <w:t>Civil protection order:</w:t>
      </w:r>
    </w:p>
    <w:p w14:paraId="5B2BEB1A" w14:textId="07864C10" w:rsidR="00BD0F03" w:rsidRDefault="00BD0F03" w:rsidP="00080657">
      <w:r>
        <w:t>Impacted parties may request a civil harassment restraining order if they are being harassed, stalked, abused, or threate</w:t>
      </w:r>
      <w:r w:rsidR="00067845">
        <w:t>n</w:t>
      </w:r>
      <w:r>
        <w:t>ed by some they have not dated and do NOT have a close relationship</w:t>
      </w:r>
      <w:r w:rsidR="00067845">
        <w:t xml:space="preserve"> with (anyone not included in the list under domestic violence protections).</w:t>
      </w:r>
    </w:p>
    <w:p w14:paraId="6C7D50F5" w14:textId="77777777" w:rsidR="00AE3B1A" w:rsidRDefault="00AE3B1A" w:rsidP="00080657">
      <w:pPr>
        <w:rPr>
          <w:color w:val="0072C6" w:themeColor="accent1"/>
        </w:rPr>
      </w:pPr>
    </w:p>
    <w:p w14:paraId="7EA4BA62" w14:textId="0EABB64D" w:rsidR="00067845" w:rsidRDefault="00067845" w:rsidP="00080657">
      <w:pPr>
        <w:rPr>
          <w:color w:val="0072C6" w:themeColor="accent1"/>
        </w:rPr>
      </w:pPr>
      <w:r>
        <w:rPr>
          <w:color w:val="0072C6" w:themeColor="accent1"/>
        </w:rPr>
        <w:lastRenderedPageBreak/>
        <w:t>Resources:</w:t>
      </w:r>
    </w:p>
    <w:p w14:paraId="67B3E59B" w14:textId="51F07634" w:rsidR="00067845" w:rsidRDefault="00982B21" w:rsidP="00080657">
      <w:r>
        <w:t>Persons in need of assistance with obtaining, enforcing, or getting information about protective orders may contact any of the following organizations:</w:t>
      </w:r>
    </w:p>
    <w:p w14:paraId="68262A80" w14:textId="141F49C1" w:rsidR="00982B21" w:rsidRDefault="00982B21" w:rsidP="00B03EE9">
      <w:pPr>
        <w:spacing w:before="0" w:after="0" w:line="240" w:lineRule="auto"/>
      </w:pPr>
      <w:r>
        <w:t>New Town Police Department</w:t>
      </w:r>
    </w:p>
    <w:p w14:paraId="3349BE82" w14:textId="54D5078B" w:rsidR="0003024B" w:rsidRDefault="00B03EE9" w:rsidP="00B03EE9">
      <w:pPr>
        <w:spacing w:before="0" w:after="0" w:line="240" w:lineRule="auto"/>
      </w:pPr>
      <w:r>
        <w:t xml:space="preserve">103 Soo Pl, New Town, ND  </w:t>
      </w:r>
      <w:r w:rsidR="00FA1B78">
        <w:t>58763 Phone</w:t>
      </w:r>
      <w:r>
        <w:t>: (701) 627-3314</w:t>
      </w:r>
    </w:p>
    <w:p w14:paraId="73C19FF0" w14:textId="77777777" w:rsidR="00B03EE9" w:rsidRDefault="00B03EE9" w:rsidP="00B03EE9">
      <w:pPr>
        <w:spacing w:before="0" w:after="0" w:line="240" w:lineRule="auto"/>
      </w:pPr>
    </w:p>
    <w:p w14:paraId="34BF39AF" w14:textId="4350B547" w:rsidR="00B03EE9" w:rsidRDefault="00B03EE9" w:rsidP="00B03EE9">
      <w:pPr>
        <w:spacing w:before="0" w:after="0" w:line="240" w:lineRule="auto"/>
      </w:pPr>
      <w:r>
        <w:t>TAT Tribal Law Enforcement Office</w:t>
      </w:r>
    </w:p>
    <w:p w14:paraId="6951C8FF" w14:textId="130FCD77" w:rsidR="00B03EE9" w:rsidRDefault="00B03EE9" w:rsidP="00B03EE9">
      <w:pPr>
        <w:spacing w:before="0" w:after="0" w:line="240" w:lineRule="auto"/>
      </w:pPr>
      <w:r>
        <w:t>712</w:t>
      </w:r>
      <w:r w:rsidR="009F340A">
        <w:t xml:space="preserve">79 E Avenue Northwest, New Town, ND  </w:t>
      </w:r>
      <w:r w:rsidR="00FA1B78">
        <w:t>58763 Phone</w:t>
      </w:r>
      <w:r w:rsidR="009F340A">
        <w:t>: (701) 938-3452</w:t>
      </w:r>
    </w:p>
    <w:p w14:paraId="65DAB4C1" w14:textId="77777777" w:rsidR="004C3021" w:rsidRDefault="004C3021" w:rsidP="00B03EE9">
      <w:pPr>
        <w:spacing w:before="0" w:after="0" w:line="240" w:lineRule="auto"/>
      </w:pPr>
    </w:p>
    <w:p w14:paraId="6A4DEF41" w14:textId="4D55706C" w:rsidR="004C3021" w:rsidRDefault="004C3021" w:rsidP="00056EA3">
      <w:pPr>
        <w:spacing w:before="0" w:after="0" w:line="240" w:lineRule="auto"/>
      </w:pPr>
      <w:r>
        <w:t>Mountrail County Sheriff Office</w:t>
      </w:r>
    </w:p>
    <w:p w14:paraId="1F804209" w14:textId="4B2E1C55" w:rsidR="004C3021" w:rsidRDefault="004C3021" w:rsidP="00B803AE">
      <w:pPr>
        <w:spacing w:before="0" w:after="0"/>
      </w:pPr>
      <w:r>
        <w:t xml:space="preserve">101 Main Street Nort, Stanley, </w:t>
      </w:r>
      <w:r w:rsidR="00FA1B78">
        <w:t>ND 58784 Phone</w:t>
      </w:r>
      <w:r>
        <w:t>: (701) 628-2975</w:t>
      </w:r>
    </w:p>
    <w:p w14:paraId="58233DAD" w14:textId="77777777" w:rsidR="00056EA3" w:rsidRDefault="00056EA3" w:rsidP="00B803AE">
      <w:pPr>
        <w:spacing w:before="0" w:after="0"/>
      </w:pPr>
    </w:p>
    <w:p w14:paraId="0830E448" w14:textId="1BA90672" w:rsidR="00B803AE" w:rsidRPr="00AE5FDF" w:rsidRDefault="00B803AE" w:rsidP="00AE5FDF">
      <w:pPr>
        <w:pStyle w:val="Heading2"/>
        <w:rPr>
          <w:rFonts w:asciiTheme="minorHAnsi" w:hAnsiTheme="minorHAnsi" w:cstheme="minorHAnsi"/>
          <w:sz w:val="24"/>
          <w:szCs w:val="24"/>
        </w:rPr>
      </w:pPr>
      <w:bookmarkStart w:id="49" w:name="_Toc209014401"/>
      <w:r w:rsidRPr="00AE5FDF">
        <w:rPr>
          <w:rFonts w:asciiTheme="minorHAnsi" w:hAnsiTheme="minorHAnsi" w:cstheme="minorHAnsi"/>
          <w:sz w:val="24"/>
          <w:szCs w:val="24"/>
        </w:rPr>
        <w:t>10.6</w:t>
      </w:r>
      <w:r w:rsidRPr="00AE5FDF">
        <w:rPr>
          <w:rFonts w:asciiTheme="minorHAnsi" w:hAnsiTheme="minorHAnsi" w:cstheme="minorHAnsi"/>
          <w:sz w:val="24"/>
          <w:szCs w:val="24"/>
        </w:rPr>
        <w:tab/>
        <w:t>PROTECTING VICTIM CONFIDENTIALITY</w:t>
      </w:r>
      <w:bookmarkEnd w:id="49"/>
    </w:p>
    <w:p w14:paraId="77022428" w14:textId="77777777" w:rsidR="00F73959" w:rsidRDefault="00906094" w:rsidP="00B95FDB">
      <w:pPr>
        <w:spacing w:before="240" w:after="360"/>
      </w:pPr>
      <w:r>
        <w:t>NHSC recognizes the sensitive nature of incidents of Sexual Violence (sexual assau</w:t>
      </w:r>
      <w:r w:rsidR="00B95FDB">
        <w:t>l</w:t>
      </w:r>
      <w:r>
        <w:t>t, relationship</w:t>
      </w:r>
      <w:r w:rsidR="00B95FDB">
        <w:t xml:space="preserve"> violence, and stalking of a sexual nature).</w:t>
      </w:r>
      <w:r w:rsidR="00BF2906">
        <w:t xml:space="preserve">  NHSC is committed to protecting the privacy of any individual who reports experiencing Sexual Violence.  Different</w:t>
      </w:r>
      <w:r w:rsidR="00630485">
        <w:t xml:space="preserve"> officials and personnel are able to offer varying levels of privacy protection to complainants.  Personally identifiable information about the complainant will be considered confidential and only shared with persons who have a specific need-to-know</w:t>
      </w:r>
      <w:r w:rsidR="004D34B4">
        <w:t xml:space="preserve"> (i.e., those who are investigating/adjudicating the report or those involved in providing support services to the complainant, including </w:t>
      </w:r>
      <w:r w:rsidR="00F73959">
        <w:t>accommodations).</w:t>
      </w:r>
    </w:p>
    <w:p w14:paraId="1D44539B" w14:textId="46DC55D1" w:rsidR="00906094" w:rsidRDefault="00F73959" w:rsidP="00B95FDB">
      <w:pPr>
        <w:spacing w:before="240" w:after="360"/>
      </w:pPr>
      <w:r>
        <w:rPr>
          <w:b/>
          <w:bCs/>
        </w:rPr>
        <w:t xml:space="preserve">Reports made to confidential on-campus resources:  </w:t>
      </w:r>
      <w:r>
        <w:t>Confidential resources on campus may receive information from complainants without revealing any identifying information</w:t>
      </w:r>
      <w:r w:rsidR="009D6A5B">
        <w:t xml:space="preserve"> about them to anyone else at NHSC, including Title IX</w:t>
      </w:r>
      <w:r w:rsidR="001C032E">
        <w:t xml:space="preserve">.  </w:t>
      </w:r>
      <w:r w:rsidR="009D6A5B">
        <w:t>Campus Safety</w:t>
      </w:r>
      <w:r w:rsidR="001C032E">
        <w:t xml:space="preserve"> Office</w:t>
      </w:r>
      <w:r w:rsidR="00630485">
        <w:t xml:space="preserve"> </w:t>
      </w:r>
      <w:r w:rsidR="001C032E">
        <w:t>resources include professionals at Academic &amp; Staff Assistance Program</w:t>
      </w:r>
      <w:r w:rsidR="00097D58">
        <w:t>, some practitioners at Student Health, and the designated Title IX Advocacy Liaison in the Resource Center for Sexual &amp; Gender Diversity.  Except under certain circumstances (such as risk of imminent harm to the comp</w:t>
      </w:r>
      <w:r w:rsidR="00320170">
        <w:t>l</w:t>
      </w:r>
      <w:r w:rsidR="00097D58">
        <w:t>ainan</w:t>
      </w:r>
      <w:r w:rsidR="00320170">
        <w:t>t or others), complainants can seek assistance and support from these counse</w:t>
      </w:r>
      <w:r w:rsidR="006D10B7">
        <w:t xml:space="preserve">lors, </w:t>
      </w:r>
      <w:r w:rsidR="006D10B7">
        <w:lastRenderedPageBreak/>
        <w:t xml:space="preserve">advocates, and designated contacts without triggering a Title IX or law </w:t>
      </w:r>
      <w:r w:rsidR="00600088">
        <w:t>enforcement investigation</w:t>
      </w:r>
      <w:r w:rsidR="006D10B7">
        <w:t>.</w:t>
      </w:r>
    </w:p>
    <w:p w14:paraId="5C4913D2" w14:textId="7383A336" w:rsidR="006D10B7" w:rsidRDefault="006D10B7" w:rsidP="00B95FDB">
      <w:pPr>
        <w:spacing w:before="240" w:after="360"/>
      </w:pPr>
      <w:r>
        <w:rPr>
          <w:b/>
          <w:bCs/>
        </w:rPr>
        <w:t>Reports made to a Responsible Employee:</w:t>
      </w:r>
      <w:r>
        <w:t xml:space="preserve">  </w:t>
      </w:r>
      <w:r w:rsidR="00C46062">
        <w:t>Any NHSC employee (staff or faculty) who is not a Confidential Resource and who receives, in the course of employment, information</w:t>
      </w:r>
      <w:r w:rsidR="004B61F1">
        <w:t xml:space="preserve"> that a student has suffered Sexual Violence must promptly notify Title IX.  This includes all other student employees</w:t>
      </w:r>
      <w:r w:rsidR="00841FD1">
        <w:t xml:space="preserve"> as well</w:t>
      </w:r>
      <w:r w:rsidR="004B61F1">
        <w:t xml:space="preserve"> when disclosure</w:t>
      </w:r>
      <w:r w:rsidR="00A810B0">
        <w:t xml:space="preserve"> </w:t>
      </w:r>
      <w:r w:rsidR="00D25482">
        <w:t>is</w:t>
      </w:r>
      <w:r w:rsidR="00A810B0">
        <w:t xml:space="preserve"> made to them in their capacities as employees.</w:t>
      </w:r>
    </w:p>
    <w:p w14:paraId="58408E20" w14:textId="3869A08C" w:rsidR="00A810B0" w:rsidRDefault="00A810B0" w:rsidP="00B95FDB">
      <w:pPr>
        <w:spacing w:before="240" w:after="360"/>
      </w:pPr>
      <w:r>
        <w:rPr>
          <w:b/>
          <w:bCs/>
        </w:rPr>
        <w:t>Reports made to Title IX:</w:t>
      </w:r>
      <w:r w:rsidR="008C68D9">
        <w:t xml:space="preserve"> Title IX makes every reasonable effort to protect the privacy of all individuals</w:t>
      </w:r>
      <w:r w:rsidR="00B22DA8">
        <w:t xml:space="preserve"> throughout all phases of the complaint resolution process.  While Title IX cannot guarantee absolute confidentiality, disclosure</w:t>
      </w:r>
      <w:r w:rsidR="00906FB3">
        <w:t xml:space="preserve"> of facts to parties and witnesses is limited to what </w:t>
      </w:r>
      <w:r w:rsidR="009306C0">
        <w:t>is</w:t>
      </w:r>
      <w:r w:rsidR="00906FB3">
        <w:t xml:space="preserve"> reasonabl</w:t>
      </w:r>
      <w:r w:rsidR="009306C0">
        <w:t>y necessary to conduct a fair and thorough investigation or to deliver resources or support services to the parties.  Also, any Title IX Investigative Report is redacted to protect personally identifiable and confidential information.</w:t>
      </w:r>
    </w:p>
    <w:p w14:paraId="6836586D" w14:textId="4740E94F" w:rsidR="009306C0" w:rsidRDefault="009306C0" w:rsidP="00B95FDB">
      <w:pPr>
        <w:spacing w:before="240" w:after="360"/>
      </w:pPr>
      <w:r>
        <w:rPr>
          <w:b/>
          <w:bCs/>
        </w:rPr>
        <w:t>Reports made to law enforcement:</w:t>
      </w:r>
      <w:r>
        <w:t xml:space="preserve"> A victim who reports to NHSC may request confidentiality</w:t>
      </w:r>
      <w:r w:rsidR="00E35572">
        <w:t>.  As a “Confidential Victim,” the victim’s name and other personally identifiable information will not appear in public records.  If a victim</w:t>
      </w:r>
      <w:r w:rsidR="00226807">
        <w:t xml:space="preserve"> consents NHSC will share the victim’s information with Title IX so that the victim can be provided with information regarding their rights, options, and available resources.</w:t>
      </w:r>
    </w:p>
    <w:p w14:paraId="7B4478E3" w14:textId="37556A79" w:rsidR="00155C38" w:rsidRDefault="00155C38" w:rsidP="00B95FDB">
      <w:pPr>
        <w:spacing w:before="240" w:after="360"/>
      </w:pPr>
      <w:r>
        <w:rPr>
          <w:b/>
          <w:bCs/>
        </w:rPr>
        <w:t>Case Management Team (CMT):</w:t>
      </w:r>
      <w:r>
        <w:t xml:space="preserve"> NH</w:t>
      </w:r>
      <w:r w:rsidR="00B65F1C">
        <w:t>SC’s Case Management Team is responsible for maintaining</w:t>
      </w:r>
      <w:r w:rsidR="002E54E2">
        <w:t xml:space="preserve"> consistent coordination of all reported Sexual Violence cases, ensuring all cases are addressed promptly and equitably, coordinating supportive measures, and ensuring the campus’s response </w:t>
      </w:r>
      <w:r w:rsidR="007760E1">
        <w:t>is</w:t>
      </w:r>
      <w:r w:rsidR="002E54E2">
        <w:t xml:space="preserve"> trauma inform</w:t>
      </w:r>
      <w:r w:rsidR="007760E1">
        <w:t>ed.  This team, comprised of the Title IX Officer or designee</w:t>
      </w:r>
      <w:r w:rsidR="00E30194">
        <w:t xml:space="preserve"> and representatives from NHSC, </w:t>
      </w:r>
      <w:r w:rsidR="00E718DA">
        <w:t>Office of Student Services</w:t>
      </w:r>
      <w:r w:rsidR="00E30194">
        <w:t>, Campus Safety Office, Human Resources, Academic</w:t>
      </w:r>
      <w:r w:rsidR="001B7755">
        <w:t xml:space="preserve"> Personnel, and the </w:t>
      </w:r>
      <w:r w:rsidR="00FA1B78">
        <w:t>Academic,</w:t>
      </w:r>
      <w:r w:rsidR="001B7755">
        <w:t xml:space="preserve"> upholds the privacy of the involved cases.</w:t>
      </w:r>
    </w:p>
    <w:p w14:paraId="573A8613" w14:textId="533AF509" w:rsidR="00E47029" w:rsidRDefault="004056A4" w:rsidP="00B95FDB">
      <w:pPr>
        <w:spacing w:before="240" w:after="360"/>
      </w:pPr>
      <w:r>
        <w:rPr>
          <w:b/>
          <w:bCs/>
        </w:rPr>
        <w:t xml:space="preserve">Supportive and Remedial Measures: </w:t>
      </w:r>
      <w:r w:rsidR="0015200A">
        <w:t xml:space="preserve">NHSC will maintain as confidential any supportive or remedial measures provided to parties, to the extent such confidentiality does not impair NHSC’s ability to provide the measures.  In some cases, NHSC may need to disclose some </w:t>
      </w:r>
      <w:r w:rsidR="0015200A">
        <w:lastRenderedPageBreak/>
        <w:t>information about the impacted party to a third party to provide necessary accommodations.  Title IX is responsible for determining what information about a party should be disclosed and will make this decision based on the need to properly</w:t>
      </w:r>
      <w:r w:rsidR="00F113E7">
        <w:t xml:space="preserve"> provide the impacted party with supportive or remedial measures.</w:t>
      </w:r>
    </w:p>
    <w:p w14:paraId="6A1E6DDF" w14:textId="55B322A9" w:rsidR="00F113E7" w:rsidRDefault="00F113E7" w:rsidP="00B95FDB">
      <w:pPr>
        <w:spacing w:before="240" w:after="360"/>
      </w:pPr>
      <w:r>
        <w:rPr>
          <w:b/>
          <w:bCs/>
        </w:rPr>
        <w:t xml:space="preserve">Adjudication: </w:t>
      </w:r>
      <w:r>
        <w:t xml:space="preserve">Disclosures by the </w:t>
      </w:r>
      <w:r w:rsidR="00E718DA">
        <w:t>Office of Student Services</w:t>
      </w:r>
      <w:r>
        <w:t xml:space="preserve">, the respondent’s Supervisor or Department Chair, the </w:t>
      </w:r>
      <w:r w:rsidR="00600088">
        <w:t>Academic VP or Dean,</w:t>
      </w:r>
      <w:r>
        <w:t xml:space="preserve"> or other decision-makers are limited to what is reasonably necessary to conduct the fair</w:t>
      </w:r>
      <w:r w:rsidR="0090204F">
        <w:t xml:space="preserve"> and compliant adjudication of cases or to deliver resources or support services to the parties.  Any disclosures will be made consistent with NHSC policy and state and federal law.</w:t>
      </w:r>
    </w:p>
    <w:p w14:paraId="0559F8E2" w14:textId="373039C0" w:rsidR="0090204F" w:rsidRDefault="00EF0017" w:rsidP="00B95FDB">
      <w:pPr>
        <w:spacing w:before="240" w:after="360"/>
      </w:pPr>
      <w:r>
        <w:rPr>
          <w:b/>
          <w:bCs/>
        </w:rPr>
        <w:t xml:space="preserve">Timely Warnings: </w:t>
      </w:r>
      <w:r>
        <w:t xml:space="preserve">If a Timely Warning is issued on the basis of a report of Sexual Violence, the name of the complainant/victim and other personally identifiable information about the complainant/victim will be </w:t>
      </w:r>
      <w:r w:rsidR="0002407D">
        <w:t xml:space="preserve">withheld.  Limited information about the complainant/victim, such as affiliation with </w:t>
      </w:r>
      <w:r w:rsidR="003D387F">
        <w:t>NHSC, injuries sustained, and/or gender, may be revealed if relevant to preventing similar crimes.</w:t>
      </w:r>
    </w:p>
    <w:p w14:paraId="27920515" w14:textId="1EF06C2A" w:rsidR="003D387F" w:rsidRDefault="003D387F" w:rsidP="00B95FDB">
      <w:pPr>
        <w:spacing w:before="240" w:after="360"/>
      </w:pPr>
      <w:r>
        <w:rPr>
          <w:b/>
          <w:bCs/>
        </w:rPr>
        <w:t>Clery Act and Other Public Re</w:t>
      </w:r>
      <w:r w:rsidR="008261E2">
        <w:rPr>
          <w:b/>
          <w:bCs/>
        </w:rPr>
        <w:t>cords:</w:t>
      </w:r>
      <w:r w:rsidR="008261E2">
        <w:t xml:space="preserve"> Publicly available record-keeping for purposes of Clery Act reporting and disclosures will be made without including personally identifying information about the complainant/victim.  NHSC does not publish the name of crime victims as part of its Clery Act-mandated reporting (including annual crime statistics that are disclosed in compliance with the Clery Act), nor does it include personally identifiable information regarding victims in the Daily Crime Log.  In addition, NHSC policy regarding access to public records may require disclosure of certain information concerning the report of Sexual Violence.  In such cases, every effort is made to redact</w:t>
      </w:r>
      <w:r w:rsidR="00C21DDD">
        <w:t xml:space="preserve"> or limit the record as appropriate</w:t>
      </w:r>
      <w:r w:rsidR="00724274">
        <w:t xml:space="preserve"> to protect the privacy of all parties and witnesses.  NHSC has various policies and procedures to </w:t>
      </w:r>
      <w:r w:rsidR="001F0743">
        <w:t>ensure that</w:t>
      </w:r>
      <w:r w:rsidR="00BA2AAA">
        <w:t xml:space="preserve"> personally identifiable information about a victim is not included in publicly available record-keeping.</w:t>
      </w:r>
    </w:p>
    <w:p w14:paraId="2D25622F" w14:textId="4F2B1106" w:rsidR="00BA2AAA" w:rsidRDefault="00BA2AAA" w:rsidP="00B95FDB">
      <w:pPr>
        <w:spacing w:before="240" w:after="360"/>
      </w:pPr>
      <w:r>
        <w:rPr>
          <w:b/>
          <w:bCs/>
        </w:rPr>
        <w:t xml:space="preserve">Student Behavioral Intervention Team (SBIT) and Threat Management Team (TMT): </w:t>
      </w:r>
      <w:r w:rsidR="00756E55">
        <w:t xml:space="preserve"> Sexual Violence cases that require a threat management assessment may come to the attention of SBIT or TMT at the recommendations of the CMT.  These teams collaborate with CMT to </w:t>
      </w:r>
      <w:r w:rsidR="00756E55">
        <w:lastRenderedPageBreak/>
        <w:t>provide a coordinated NHSC response</w:t>
      </w:r>
      <w:r w:rsidR="00B3004E">
        <w:t xml:space="preserve"> to potential threats.  These mult</w:t>
      </w:r>
      <w:r w:rsidR="00C658C2">
        <w:t>i</w:t>
      </w:r>
      <w:r w:rsidR="00B3004E">
        <w:t>-disciplinary teams of campus professionals uphold the privacy of the involved parties, to the ext</w:t>
      </w:r>
      <w:r w:rsidR="00C658C2">
        <w:t>ent possible.</w:t>
      </w:r>
    </w:p>
    <w:p w14:paraId="1E4B3A95" w14:textId="729B9DAC" w:rsidR="00C658C2" w:rsidRDefault="00F447E9" w:rsidP="00B95FDB">
      <w:pPr>
        <w:spacing w:before="240" w:after="360"/>
      </w:pPr>
      <w:r>
        <w:rPr>
          <w:b/>
          <w:bCs/>
        </w:rPr>
        <w:t xml:space="preserve">Whistleblower’s Investigations Workgroup: </w:t>
      </w:r>
      <w:r>
        <w:t>Sexual Violence cases involving employees may be reported to the</w:t>
      </w:r>
      <w:r w:rsidR="00A97E9B">
        <w:t xml:space="preserve"> NHSC Whistleblower Coordinator and referred to the Title IX Officer.  Cases that rise to the level of investi</w:t>
      </w:r>
      <w:r w:rsidR="003773F5">
        <w:t>gation are reported to the Whistleblower’s Investigation Workgroup, responsible for meeting all of the compliance obligations through the course of an investigation.  Members of this Workgroup maintain confidentiali</w:t>
      </w:r>
      <w:r w:rsidR="003E2024">
        <w:t>ty on all matters of the case, to the extent possible.</w:t>
      </w:r>
      <w:r w:rsidR="00F76E9F">
        <w:tab/>
      </w:r>
    </w:p>
    <w:p w14:paraId="786D2DB7" w14:textId="56FCD2AF" w:rsidR="003E2024" w:rsidRDefault="003E2024" w:rsidP="00B95FDB">
      <w:pPr>
        <w:spacing w:before="240" w:after="360"/>
      </w:pPr>
      <w:r>
        <w:rPr>
          <w:b/>
          <w:bCs/>
        </w:rPr>
        <w:t xml:space="preserve">Litigation Review Committee: </w:t>
      </w:r>
      <w:r w:rsidR="005963B5">
        <w:t>NHSC’s Risk Management Department reviews Sexual Violence cases connected to litigation against NHSC</w:t>
      </w:r>
      <w:r w:rsidR="009361DB">
        <w:t>.  Members of the Review Committee maintain confidentiality on all matters of the case, to the extent possible.</w:t>
      </w:r>
    </w:p>
    <w:p w14:paraId="4BDF05DB" w14:textId="37E66EE6" w:rsidR="009361DB" w:rsidRPr="00AE5FDF" w:rsidRDefault="009361DB" w:rsidP="00AE5FDF">
      <w:pPr>
        <w:pStyle w:val="Heading2"/>
        <w:rPr>
          <w:rFonts w:asciiTheme="minorHAnsi" w:hAnsiTheme="minorHAnsi" w:cstheme="minorHAnsi"/>
          <w:sz w:val="24"/>
          <w:szCs w:val="24"/>
        </w:rPr>
      </w:pPr>
      <w:bookmarkStart w:id="50" w:name="_Toc209014402"/>
      <w:r w:rsidRPr="00AE5FDF">
        <w:rPr>
          <w:rFonts w:asciiTheme="minorHAnsi" w:hAnsiTheme="minorHAnsi" w:cstheme="minorHAnsi"/>
          <w:sz w:val="24"/>
          <w:szCs w:val="24"/>
        </w:rPr>
        <w:t>10.</w:t>
      </w:r>
      <w:r w:rsidR="00AE5FDF" w:rsidRPr="00AE5FDF">
        <w:rPr>
          <w:rFonts w:asciiTheme="minorHAnsi" w:hAnsiTheme="minorHAnsi" w:cstheme="minorHAnsi"/>
          <w:sz w:val="24"/>
          <w:szCs w:val="24"/>
        </w:rPr>
        <w:t>7</w:t>
      </w:r>
      <w:r w:rsidR="00F76E9F" w:rsidRPr="00AE5FDF">
        <w:rPr>
          <w:rFonts w:asciiTheme="minorHAnsi" w:hAnsiTheme="minorHAnsi" w:cstheme="minorHAnsi"/>
          <w:sz w:val="24"/>
          <w:szCs w:val="24"/>
        </w:rPr>
        <w:tab/>
        <w:t>NHSC RESPONSE OVERVIEW</w:t>
      </w:r>
      <w:bookmarkEnd w:id="50"/>
    </w:p>
    <w:p w14:paraId="6CF78644" w14:textId="3C1058A0" w:rsidR="00F76E9F" w:rsidRDefault="00F76E9F" w:rsidP="00B95FDB">
      <w:pPr>
        <w:spacing w:before="240" w:after="360"/>
      </w:pPr>
      <w:r>
        <w:t xml:space="preserve">NHSC prohibits acts of Sexual Violence (sexual assault, relationship violence, and stalking </w:t>
      </w:r>
      <w:r w:rsidR="00356495">
        <w:t xml:space="preserve">of </w:t>
      </w:r>
      <w:r>
        <w:t xml:space="preserve">a sexual nature) that violate law and/or NHSC policy.  This section provides </w:t>
      </w:r>
      <w:r w:rsidR="00AE3B1A">
        <w:t>an</w:t>
      </w:r>
      <w:r>
        <w:t xml:space="preserve"> overview of </w:t>
      </w:r>
      <w:r w:rsidR="00356495">
        <w:t>the administrative procedures NHSC uses to respond to reports of Sexual Violence.  While the Title IX Officer has general responsibility for oversight of the reporting and response process, other offices will be involved and consulted, as necessary.</w:t>
      </w:r>
    </w:p>
    <w:p w14:paraId="7328E95E" w14:textId="3ABE0D20" w:rsidR="00356495" w:rsidRDefault="00356495" w:rsidP="00B95FDB">
      <w:pPr>
        <w:spacing w:before="240" w:after="360"/>
      </w:pPr>
      <w:r>
        <w:t>Any person may make a report, including anonymously, of Sexual Violence to Title IX; to any Re</w:t>
      </w:r>
      <w:r w:rsidR="003604FB">
        <w:t>s</w:t>
      </w:r>
      <w:r>
        <w:t>ponsible Empl</w:t>
      </w:r>
      <w:r w:rsidR="003604FB">
        <w:t>oyee; or to another appropriate office, such as the Academic Personnel Office</w:t>
      </w:r>
      <w:r w:rsidR="00042374">
        <w:t>, Student Affairs, or Human Resources.</w:t>
      </w:r>
    </w:p>
    <w:p w14:paraId="1402BEEF" w14:textId="746C29FE" w:rsidR="00252357" w:rsidRDefault="00252357" w:rsidP="00B95FDB">
      <w:pPr>
        <w:spacing w:before="240" w:after="360"/>
      </w:pPr>
      <w:r>
        <w:t xml:space="preserve">The report shall be sent to Title IX.  If the person to whom a report normally would be made is the respondent, reports may be </w:t>
      </w:r>
      <w:r w:rsidR="001B4EC0">
        <w:t xml:space="preserve">made to another Responsible Employee or Title IX directly.  Reports made to Title IX can be made </w:t>
      </w:r>
      <w:r w:rsidR="00F958B5">
        <w:t xml:space="preserve">to the Title IX Coordinator at </w:t>
      </w:r>
      <w:hyperlink r:id="rId27" w:history="1">
        <w:r w:rsidR="00F958B5" w:rsidRPr="006A0D88">
          <w:rPr>
            <w:rStyle w:val="Hyperlink"/>
          </w:rPr>
          <w:t>Cfrank@nhsc.edu</w:t>
        </w:r>
      </w:hyperlink>
      <w:r w:rsidR="00F958B5">
        <w:t xml:space="preserve"> </w:t>
      </w:r>
      <w:r w:rsidR="00107B79">
        <w:t>or over the phone (701-627-8015) and should contain all pertinent information known to the reporter, including names, date, location, and allegations.</w:t>
      </w:r>
    </w:p>
    <w:p w14:paraId="03419127" w14:textId="0976488D" w:rsidR="00AE5FDF" w:rsidRPr="00083C3F" w:rsidRDefault="00107B79" w:rsidP="00B95FDB">
      <w:pPr>
        <w:spacing w:before="240" w:after="360"/>
      </w:pPr>
      <w:r>
        <w:lastRenderedPageBreak/>
        <w:t>Once Title IX receives a report of alleged Sexual Violence, they will determine if the issues presented meet the criteria</w:t>
      </w:r>
      <w:r w:rsidR="00890BF6">
        <w:t xml:space="preserve"> of Prohibited Conduct as defined by the </w:t>
      </w:r>
      <w:r w:rsidR="00890BF6">
        <w:rPr>
          <w:i/>
          <w:iCs/>
        </w:rPr>
        <w:t>NHSC SVSH Policy,</w:t>
      </w:r>
      <w:r w:rsidR="00890BF6">
        <w:t xml:space="preserve"> and if so, determine the most appropriate process to address the issue</w:t>
      </w:r>
      <w:r w:rsidR="00572ADE">
        <w:t>s presented.</w:t>
      </w:r>
    </w:p>
    <w:p w14:paraId="0322EAA2" w14:textId="05AE1AAA" w:rsidR="00572ADE" w:rsidRDefault="00572ADE" w:rsidP="00B95FDB">
      <w:pPr>
        <w:spacing w:before="240" w:after="360"/>
        <w:rPr>
          <w:b/>
          <w:bCs/>
        </w:rPr>
      </w:pPr>
      <w:r>
        <w:rPr>
          <w:b/>
          <w:bCs/>
        </w:rPr>
        <w:t>Jurisdiction</w:t>
      </w:r>
    </w:p>
    <w:p w14:paraId="1543DFCB" w14:textId="7DC63299" w:rsidR="00572ADE" w:rsidRDefault="00572ADE" w:rsidP="00B95FDB">
      <w:pPr>
        <w:spacing w:before="240" w:after="360"/>
      </w:pPr>
      <w:r>
        <w:t xml:space="preserve">The </w:t>
      </w:r>
      <w:r>
        <w:rPr>
          <w:i/>
          <w:iCs/>
        </w:rPr>
        <w:t xml:space="preserve">NHSC SVSH Policy </w:t>
      </w:r>
      <w:r>
        <w:t>coves Prohibited Conduct co</w:t>
      </w:r>
      <w:r w:rsidR="006E0E9F">
        <w:t>m</w:t>
      </w:r>
      <w:r>
        <w:t>mitt</w:t>
      </w:r>
      <w:r w:rsidR="006E0E9F">
        <w:t>ed</w:t>
      </w:r>
      <w:r w:rsidR="007C2E24">
        <w:t xml:space="preserve"> by NHSC students, employees, and third parties (such as Board Members, contactors, vendors, visitors, guests, patients, and volunteers), and acts of Prohibited Conduct committed against student, employees, and third parties, when the conduct occurs; 1.  On NHSC property</w:t>
      </w:r>
      <w:r w:rsidR="002713DB">
        <w:t>; 2.  Interconnection</w:t>
      </w:r>
      <w:r w:rsidR="000A32D3">
        <w:t xml:space="preserve"> with NHSC employment or in</w:t>
      </w:r>
      <w:r w:rsidR="00572825">
        <w:t xml:space="preserve"> the context of a NHSC program or activity; or 3. </w:t>
      </w:r>
      <w:r w:rsidR="004C398C">
        <w:t>Off NHSC property</w:t>
      </w:r>
      <w:r w:rsidR="001C2F43">
        <w:t xml:space="preserve"> and outside the context of a NHSC program</w:t>
      </w:r>
      <w:r w:rsidR="0094084A">
        <w:t xml:space="preserve"> or activity</w:t>
      </w:r>
      <w:r w:rsidR="00495EF6">
        <w:t>, but has continuing adverse effects</w:t>
      </w:r>
      <w:r w:rsidR="003E1155">
        <w:t xml:space="preserve"> on (or creates a hostile environment for students, employees, or third parties while on) NHSC</w:t>
      </w:r>
      <w:r w:rsidR="0015681F">
        <w:t xml:space="preserve"> property or in any NHSC program or activity.  Any person who experiences Sexual Violence within the jurisdiction stated above m</w:t>
      </w:r>
      <w:r w:rsidR="003B2D8E">
        <w:t>a</w:t>
      </w:r>
      <w:r w:rsidR="0015681F">
        <w:t xml:space="preserve">y file a </w:t>
      </w:r>
      <w:r w:rsidR="003B2D8E">
        <w:t>complaint</w:t>
      </w:r>
      <w:r w:rsidR="0015681F">
        <w:t xml:space="preserve"> with Title IX for review if they would like the incident</w:t>
      </w:r>
      <w:r w:rsidR="005B36CA">
        <w:t xml:space="preserve"> to be investigated by NHSC.  Every case is considered individually and a determination of whether it is appropriate to pursue a Title IX response process is made on a case-by-case basis</w:t>
      </w:r>
      <w:r w:rsidR="00B75D58">
        <w:t>.</w:t>
      </w:r>
    </w:p>
    <w:p w14:paraId="1D457986" w14:textId="628567CE" w:rsidR="00B75D58" w:rsidRDefault="00B75D58" w:rsidP="00B95FDB">
      <w:pPr>
        <w:spacing w:before="240" w:after="360"/>
      </w:pPr>
      <w:r>
        <w:t xml:space="preserve">In determining whether to exercise jurisdiction for conduct that occurs off campus or outside the context of NHSC, Title IX may consider the seriousness of the alleged misconduct: the risk of future harm involved; whether a crime has been reported to the criminal authorities; the ability of NHSC to gather information, including the statements of witnesses; and/or whether the </w:t>
      </w:r>
      <w:r w:rsidR="001630D2">
        <w:t xml:space="preserve"> off-campus conduct is part of a series of actions that occurred both on and off campus.</w:t>
      </w:r>
    </w:p>
    <w:p w14:paraId="2912EAA8" w14:textId="44A1E660" w:rsidR="001630D2" w:rsidRDefault="001630D2" w:rsidP="00B95FDB">
      <w:pPr>
        <w:spacing w:before="240" w:after="360"/>
      </w:pPr>
      <w:r>
        <w:t>All reports of sexual misconduct by non-student members of the ca</w:t>
      </w:r>
      <w:r w:rsidR="006740B8">
        <w:t xml:space="preserve">mpus community are received and reviewed by Title IX.  Faculty and lecturers are under the jurisdiction of the Office of </w:t>
      </w:r>
      <w:r w:rsidR="00873A45">
        <w:t xml:space="preserve">Academic </w:t>
      </w:r>
      <w:r w:rsidR="00083C3F">
        <w:t>Office</w:t>
      </w:r>
      <w:r w:rsidR="00873A45">
        <w:t xml:space="preserve"> in the Vice President’s Office for adjudication/resolutions purposes.  Staff members are under the jurisdiction of the respondent’s department and Staff Human Resources for adjudication/resolution purposes.</w:t>
      </w:r>
    </w:p>
    <w:p w14:paraId="4D455148" w14:textId="1645C44F" w:rsidR="00873A45" w:rsidRDefault="00873A45" w:rsidP="00B95FDB">
      <w:pPr>
        <w:spacing w:before="240" w:after="360"/>
      </w:pPr>
      <w:r>
        <w:lastRenderedPageBreak/>
        <w:t>If the respondent is both a student and an employee, Title IX will determine which process to use, depending on the specific facts</w:t>
      </w:r>
      <w:r w:rsidR="0045303D">
        <w:t xml:space="preserve"> reported, including the respondent’s role/</w:t>
      </w:r>
      <w:r w:rsidR="00D207C6">
        <w:t>status during the alleged conduct, serious</w:t>
      </w:r>
      <w:r w:rsidR="001C6192">
        <w:t>ness</w:t>
      </w:r>
      <w:r w:rsidR="008232DB">
        <w:t xml:space="preserve"> of the violative conduct alleged, and the desired options for remedies, if warranted.  If the respondent is not a NHSC student but is a NHSC student at a different campus, the Title IX Officer will forward the report</w:t>
      </w:r>
      <w:r w:rsidR="001243CC">
        <w:t xml:space="preserve"> to the Title IX Officer at the respondent’s home </w:t>
      </w:r>
      <w:r w:rsidR="00636C6E">
        <w:t>campus.  If the respondent is a NHSC employee and not a NHSC student, Title IX will follow the appropriate Response Procedures that corre</w:t>
      </w:r>
      <w:r w:rsidR="00B81C74">
        <w:t>spond to the respondent’s employment status.</w:t>
      </w:r>
    </w:p>
    <w:p w14:paraId="551971CF" w14:textId="7DEA2EA7" w:rsidR="00B81C74" w:rsidRDefault="00B81C74" w:rsidP="00B95FDB">
      <w:pPr>
        <w:spacing w:before="240" w:after="360"/>
      </w:pPr>
      <w:r>
        <w:t>When a non-student, non-</w:t>
      </w:r>
      <w:r w:rsidR="004B1EE6">
        <w:t>affiliate</w:t>
      </w:r>
      <w:r>
        <w:t xml:space="preserve"> ass</w:t>
      </w:r>
      <w:r w:rsidR="0018441E">
        <w:t>aults or stalks a student on or off campus, the NHSC’s role</w:t>
      </w:r>
      <w:r w:rsidR="00A62F5E">
        <w:t xml:space="preserve"> may be limited to a Police response and providing</w:t>
      </w:r>
      <w:r w:rsidR="007C4E7B">
        <w:t xml:space="preserve"> counseling and support services to the victim</w:t>
      </w:r>
      <w:r w:rsidR="00B550D8">
        <w:t>.  Advocates may provide confidential support to and assist victims with filing a restraining order and all other avenues available through the criminal or civil justice system.  Reports may still be made to Title IX for review and possible investigation or recommended remedies.  On occasion, Title IX may initiate an investigation to support further safety reme</w:t>
      </w:r>
      <w:r w:rsidR="00B03FB2">
        <w:t>dies.</w:t>
      </w:r>
    </w:p>
    <w:p w14:paraId="2C890D49" w14:textId="656993A6" w:rsidR="00B03FB2" w:rsidRDefault="00662452" w:rsidP="00B95FDB">
      <w:pPr>
        <w:spacing w:before="240" w:after="360"/>
      </w:pPr>
      <w:r>
        <w:t>The following is information about NHSC’s jurisdiction</w:t>
      </w:r>
      <w:r w:rsidR="009A3638">
        <w:t xml:space="preserve"> over specific locations/groups.</w:t>
      </w:r>
    </w:p>
    <w:p w14:paraId="7A9C32CE" w14:textId="1D0FA2A3" w:rsidR="00AC56F1" w:rsidRDefault="00224C70" w:rsidP="00B95FDB">
      <w:pPr>
        <w:spacing w:before="240" w:after="360"/>
        <w:rPr>
          <w:color w:val="0072C6" w:themeColor="accent1"/>
        </w:rPr>
      </w:pPr>
      <w:r>
        <w:rPr>
          <w:color w:val="0072C6" w:themeColor="accent1"/>
        </w:rPr>
        <w:t>NHSC registered campus organizations or athletic</w:t>
      </w:r>
      <w:r w:rsidR="00DC5D85">
        <w:rPr>
          <w:color w:val="0072C6" w:themeColor="accent1"/>
        </w:rPr>
        <w:t xml:space="preserve"> teams:</w:t>
      </w:r>
    </w:p>
    <w:p w14:paraId="3851DB49" w14:textId="6E9D0B89" w:rsidR="00DC5D85" w:rsidRDefault="00DC5D85" w:rsidP="00B95FDB">
      <w:pPr>
        <w:spacing w:before="240" w:after="360"/>
      </w:pPr>
      <w:r>
        <w:t>Allegations involving</w:t>
      </w:r>
      <w:r w:rsidR="009703D0">
        <w:t xml:space="preserve"> members of any registered campus organization or athletic</w:t>
      </w:r>
      <w:r w:rsidR="003D3F9E">
        <w:t xml:space="preserve"> team may be reported to Title IX for review</w:t>
      </w:r>
      <w:r w:rsidR="0034563B">
        <w:t>.  NHSC reserves the right to sanction registered campus</w:t>
      </w:r>
      <w:r w:rsidR="00F14756">
        <w:t xml:space="preserve"> organiz</w:t>
      </w:r>
      <w:r w:rsidR="009B165C">
        <w:t>ations and athletic teams (including, but not limited to club teams and NCAA intercollegiate athletic</w:t>
      </w:r>
      <w:r w:rsidR="00705DB9">
        <w:t xml:space="preserve"> teams) should the complaint be substantiated.</w:t>
      </w:r>
    </w:p>
    <w:p w14:paraId="6B1CA6B9" w14:textId="44FC0D2F" w:rsidR="00705DB9" w:rsidRDefault="00F867B8" w:rsidP="00B95FDB">
      <w:pPr>
        <w:spacing w:before="240" w:after="360"/>
        <w:rPr>
          <w:color w:val="0072C6" w:themeColor="accent1"/>
        </w:rPr>
      </w:pPr>
      <w:r>
        <w:rPr>
          <w:color w:val="0072C6" w:themeColor="accent1"/>
        </w:rPr>
        <w:t>Other off-campus or non-campus locations:</w:t>
      </w:r>
    </w:p>
    <w:p w14:paraId="58A40176" w14:textId="001121F4" w:rsidR="00F867B8" w:rsidRDefault="00F867B8" w:rsidP="00B95FDB">
      <w:pPr>
        <w:spacing w:before="240" w:after="360"/>
      </w:pPr>
      <w:r>
        <w:t>Allegations involving NHSC students may be reported to Title IX for investi</w:t>
      </w:r>
      <w:r w:rsidR="00680314">
        <w:t>gation</w:t>
      </w:r>
      <w:r w:rsidR="0048358C">
        <w:t xml:space="preserve"> and possible adjudication by NHSC regardless of location.</w:t>
      </w:r>
    </w:p>
    <w:p w14:paraId="4EEE48B5" w14:textId="77777777" w:rsidR="00AE3B1A" w:rsidRDefault="00AE3B1A" w:rsidP="00B95FDB">
      <w:pPr>
        <w:spacing w:before="240" w:after="360"/>
        <w:rPr>
          <w:b/>
          <w:bCs/>
        </w:rPr>
      </w:pPr>
    </w:p>
    <w:p w14:paraId="1E7186FA" w14:textId="5A24C033" w:rsidR="0048358C" w:rsidRDefault="0048358C" w:rsidP="00B95FDB">
      <w:pPr>
        <w:spacing w:before="240" w:after="360"/>
        <w:rPr>
          <w:b/>
          <w:bCs/>
        </w:rPr>
      </w:pPr>
      <w:r>
        <w:rPr>
          <w:b/>
          <w:bCs/>
        </w:rPr>
        <w:lastRenderedPageBreak/>
        <w:t>Response Processes</w:t>
      </w:r>
    </w:p>
    <w:p w14:paraId="71F76ECD" w14:textId="76C61A40" w:rsidR="0048358C" w:rsidRDefault="0048358C" w:rsidP="00B95FDB">
      <w:pPr>
        <w:spacing w:before="240" w:after="360"/>
      </w:pPr>
      <w:r>
        <w:t>NHSC procedures provide those proceedings will include</w:t>
      </w:r>
      <w:r w:rsidR="00DF164B">
        <w:t xml:space="preserve"> a prompt, fair, and impartial process from the initial investigation to the final result.  </w:t>
      </w:r>
      <w:r w:rsidR="000336EF">
        <w:t>All disciplinary proceedings will be completed within reasonably prompt timeframes, as designated by NHSC policy and guidelines, and allow for good cause extension of timeframes with written notice to both the complainant and respondent of</w:t>
      </w:r>
      <w:r w:rsidR="002A05E7">
        <w:t xml:space="preserve"> the delay and the reason for it.</w:t>
      </w:r>
    </w:p>
    <w:p w14:paraId="340C693D" w14:textId="223258A0" w:rsidR="002A05E7" w:rsidRDefault="002A05E7" w:rsidP="00B95FDB">
      <w:pPr>
        <w:spacing w:before="240" w:after="360"/>
      </w:pPr>
      <w:r>
        <w:t xml:space="preserve">All proceedings are conducted by officials who receive annual training on issues related to Sexual Violence and how to conduct investigations and hearing processes that protect the safety of complainants, promote accountability, and promote </w:t>
      </w:r>
      <w:r w:rsidR="00FA1B78">
        <w:t>impartial investigations</w:t>
      </w:r>
      <w:r>
        <w:t xml:space="preserve"> and adjud</w:t>
      </w:r>
      <w:r w:rsidR="00A42E2E">
        <w:t>ications.  Title IX investigators are additionally trained in the application</w:t>
      </w:r>
      <w:r w:rsidR="000A5812">
        <w:t xml:space="preserve"> of investigative best practices, and legal and procedural updates.  Hearing officials are additionally trained on the fundamentals of due process in administrative hearings.  Proceedings are </w:t>
      </w:r>
      <w:r w:rsidR="00AE3B1A">
        <w:t>conducted</w:t>
      </w:r>
      <w:r w:rsidR="00BB0340">
        <w:t xml:space="preserve"> by officials who have no conflicts of interest or biases for or against a complainant or respondent.</w:t>
      </w:r>
    </w:p>
    <w:p w14:paraId="477BA9F4" w14:textId="5263586C" w:rsidR="00BB0340" w:rsidRDefault="00BB0340" w:rsidP="00B95FDB">
      <w:pPr>
        <w:spacing w:before="240" w:after="360"/>
      </w:pPr>
      <w:r>
        <w:t>Proceedings means all activities related to a non-criminal resolution of an institutional</w:t>
      </w:r>
      <w:r w:rsidR="00F603E8">
        <w:t xml:space="preserve"> disciplinary complaint, including, but not limited to, fact-finding investigations, formal or informal</w:t>
      </w:r>
      <w:r w:rsidR="00346661">
        <w:t xml:space="preserve"> meetings, and hearings.  Proceedings do not include communications and meetings between officials and parties concerning supportive, remedial, or other protective measures provided to a party.</w:t>
      </w:r>
    </w:p>
    <w:p w14:paraId="75069AC5" w14:textId="4BD7BC49" w:rsidR="00346661" w:rsidRDefault="00346661" w:rsidP="00B95FDB">
      <w:pPr>
        <w:spacing w:before="240" w:after="360"/>
      </w:pPr>
      <w:r>
        <w:t>At all stages of a response process, the complainant and respondent have the right to an advisor</w:t>
      </w:r>
      <w:r w:rsidR="009D3A28">
        <w:t xml:space="preserve"> and/or a support person of their choosing.  The advisor and/or the support person may be any person (including in advocate, attorney, friend, or parent) who is not otherwise a party or a witness.  The advisor’s primary role is to provide guidance through the process.  The support person’s primary</w:t>
      </w:r>
      <w:r w:rsidR="00AB2441">
        <w:t xml:space="preserve"> role is to provide emotional support.  The advisor and/or the support person may not speak on behalf of a party </w:t>
      </w:r>
      <w:r w:rsidR="007529DA">
        <w:t>or otherwise disrupt any meetings or proceedings in any manner.  (The only exception is when a party’s advisor is reading</w:t>
      </w:r>
      <w:r w:rsidR="00B365BD">
        <w:t xml:space="preserve"> the party’s questions in a DOE Grievance Process hearing.)  NHSC, </w:t>
      </w:r>
      <w:r w:rsidR="00664328">
        <w:t xml:space="preserve">reservices the right to exclude an advisor and/or support person who does not abide by </w:t>
      </w:r>
      <w:r w:rsidR="00871B06">
        <w:t>applicable rules of conduct.</w:t>
      </w:r>
    </w:p>
    <w:p w14:paraId="13A9D969" w14:textId="2EBCE21F" w:rsidR="00871B06" w:rsidRDefault="008334F9" w:rsidP="00B95FDB">
      <w:pPr>
        <w:spacing w:before="240" w:after="360"/>
        <w:rPr>
          <w:i/>
          <w:iCs/>
        </w:rPr>
      </w:pPr>
      <w:r>
        <w:lastRenderedPageBreak/>
        <w:t>The standard of proof for fact</w:t>
      </w:r>
      <w:r w:rsidR="001F12BE">
        <w:t xml:space="preserve">-finding and determining whether a policy violation occurred is a </w:t>
      </w:r>
      <w:r w:rsidR="001F12BE">
        <w:rPr>
          <w:b/>
          <w:bCs/>
        </w:rPr>
        <w:t>preponderance of the evidence</w:t>
      </w:r>
      <w:r w:rsidR="006746E5">
        <w:t xml:space="preserve">, </w:t>
      </w:r>
      <w:r w:rsidR="004109B9">
        <w:t xml:space="preserve">as defined by the </w:t>
      </w:r>
      <w:r w:rsidR="004109B9">
        <w:rPr>
          <w:i/>
          <w:iCs/>
        </w:rPr>
        <w:t>NHSC SVSH Policy</w:t>
      </w:r>
      <w:r w:rsidR="004109B9">
        <w:t xml:space="preserve">.  A respondent will not be found responsible for a violation of the </w:t>
      </w:r>
      <w:r w:rsidR="00835B02">
        <w:rPr>
          <w:i/>
          <w:iCs/>
        </w:rPr>
        <w:t xml:space="preserve">NHSC SVSH Policy </w:t>
      </w:r>
      <w:r w:rsidR="00835B02">
        <w:t xml:space="preserve">unless the evidence establishes that it </w:t>
      </w:r>
      <w:r w:rsidR="00AE3B1A">
        <w:t>is more</w:t>
      </w:r>
      <w:r w:rsidR="00835B02">
        <w:t xml:space="preserve"> likely than not </w:t>
      </w:r>
      <w:r w:rsidR="008C40A1">
        <w:t xml:space="preserve">that they violated the </w:t>
      </w:r>
      <w:r w:rsidR="008C40A1">
        <w:rPr>
          <w:i/>
          <w:iCs/>
        </w:rPr>
        <w:t>NHSC SVSH Policy.</w:t>
      </w:r>
    </w:p>
    <w:p w14:paraId="60FE9E4B" w14:textId="55A936FB" w:rsidR="008C40A1" w:rsidRDefault="008C40A1" w:rsidP="00B95FDB">
      <w:pPr>
        <w:spacing w:before="240" w:after="360"/>
      </w:pPr>
      <w:r>
        <w:t>NHSC will simultaneously notify both parties, in writing, of the result of the disciplinary proceeding</w:t>
      </w:r>
      <w:r w:rsidR="007945DB">
        <w:t xml:space="preserve">s, the procedures for the parties to appeal the result, any changes to the result, and when such </w:t>
      </w:r>
      <w:r w:rsidR="00045DDB">
        <w:t>result becomes final.  Result means any initial, interim, and final decision by an</w:t>
      </w:r>
      <w:r w:rsidR="00C95483">
        <w:t>y</w:t>
      </w:r>
      <w:r w:rsidR="00045DDB">
        <w:t xml:space="preserve"> official or entity authorized to resolve</w:t>
      </w:r>
      <w:r w:rsidR="00D249EB">
        <w:t xml:space="preserve"> disciplinary matters within the institution, including </w:t>
      </w:r>
      <w:r w:rsidR="00F958B5">
        <w:t>a</w:t>
      </w:r>
      <w:r w:rsidR="00D249EB">
        <w:t xml:space="preserve"> sanction imposed by the institution.  The notification includes the rationale for the result and the sanctions.</w:t>
      </w:r>
    </w:p>
    <w:p w14:paraId="20139185" w14:textId="7F5B08E2" w:rsidR="00536E7B" w:rsidRPr="00AE5FDF" w:rsidRDefault="00536E7B" w:rsidP="003B2D8E">
      <w:pPr>
        <w:pStyle w:val="Heading2"/>
        <w:ind w:left="720" w:hanging="720"/>
        <w:rPr>
          <w:rFonts w:asciiTheme="minorHAnsi" w:hAnsiTheme="minorHAnsi" w:cstheme="minorHAnsi"/>
          <w:sz w:val="24"/>
          <w:szCs w:val="24"/>
        </w:rPr>
      </w:pPr>
      <w:bookmarkStart w:id="51" w:name="_Toc209014403"/>
      <w:r w:rsidRPr="00AE5FDF">
        <w:rPr>
          <w:rFonts w:asciiTheme="minorHAnsi" w:hAnsiTheme="minorHAnsi" w:cstheme="minorHAnsi"/>
          <w:sz w:val="24"/>
          <w:szCs w:val="24"/>
        </w:rPr>
        <w:t>10.8</w:t>
      </w:r>
      <w:r w:rsidRPr="00AE5FDF">
        <w:rPr>
          <w:rFonts w:asciiTheme="minorHAnsi" w:hAnsiTheme="minorHAnsi" w:cstheme="minorHAnsi"/>
          <w:sz w:val="24"/>
          <w:szCs w:val="24"/>
        </w:rPr>
        <w:tab/>
      </w:r>
      <w:r w:rsidR="00280197" w:rsidRPr="00AE5FDF">
        <w:rPr>
          <w:rFonts w:asciiTheme="minorHAnsi" w:hAnsiTheme="minorHAnsi" w:cstheme="minorHAnsi"/>
          <w:sz w:val="24"/>
          <w:szCs w:val="24"/>
        </w:rPr>
        <w:t>RESPONDING TO REPORTS OF SEXUAL VIOLENCE- STUDENT RESPONDENTS</w:t>
      </w:r>
      <w:bookmarkEnd w:id="51"/>
    </w:p>
    <w:p w14:paraId="1A54FD05" w14:textId="677E9C3C" w:rsidR="00280197" w:rsidRDefault="00280197" w:rsidP="00B95FDB">
      <w:pPr>
        <w:spacing w:before="240" w:after="360"/>
        <w:rPr>
          <w:i/>
          <w:iCs/>
        </w:rPr>
      </w:pPr>
      <w:r>
        <w:t xml:space="preserve">The following is an outline of NHSC’s procedures for responding to student violations of the </w:t>
      </w:r>
      <w:r>
        <w:rPr>
          <w:i/>
          <w:iCs/>
        </w:rPr>
        <w:t>NHSC SVSH Policy.</w:t>
      </w:r>
    </w:p>
    <w:p w14:paraId="689944F1" w14:textId="1F4BFAC7" w:rsidR="003E2024" w:rsidRDefault="00236EEE" w:rsidP="00B95FDB">
      <w:pPr>
        <w:spacing w:before="240" w:after="360"/>
        <w:rPr>
          <w:b/>
          <w:bCs/>
        </w:rPr>
      </w:pPr>
      <w:r>
        <w:rPr>
          <w:b/>
          <w:bCs/>
        </w:rPr>
        <w:t>Initial Assessment of a Report / Immediate Health and Safety</w:t>
      </w:r>
    </w:p>
    <w:p w14:paraId="7B31DF9D" w14:textId="6B7CCE10" w:rsidR="00236EEE" w:rsidRDefault="007E2510" w:rsidP="00B95FDB">
      <w:pPr>
        <w:spacing w:before="240" w:after="360"/>
      </w:pPr>
      <w:r>
        <w:t xml:space="preserve">As soon as practicable after receiving a report, Title IX will make an initial assessment, including a limited factual inquiry when appropriate, to determine how to proceed.  Title IX will first assess the report to determine whether the alleged conduct is DOE-Covered Conduct and, if so, whether to begin a DOE Grievance Process.  The criteria for determining </w:t>
      </w:r>
      <w:r w:rsidR="008C75A8">
        <w:t>if</w:t>
      </w:r>
      <w:r w:rsidR="00AF35B3">
        <w:t xml:space="preserve"> Sexual Violence is DOE-Covered Conduct include the date of the conduct, the location of the complainant at the time of conduct (within the United States), the location of the conduct (in an NHSC program or activity), and whether the conduct meets the criteria</w:t>
      </w:r>
      <w:r w:rsidR="00B2423A">
        <w:t xml:space="preserve"> for DOE Sex-Based Misconduct.</w:t>
      </w:r>
    </w:p>
    <w:p w14:paraId="6FFD83E4" w14:textId="17F6DBD9" w:rsidR="00B2423A" w:rsidRDefault="00B2423A" w:rsidP="00B95FDB">
      <w:pPr>
        <w:spacing w:before="240" w:after="360"/>
      </w:pPr>
      <w:r>
        <w:t xml:space="preserve">If the alleged conduct is not DOE-Covered Conduct, Title IX will next determine whether the report on </w:t>
      </w:r>
      <w:r w:rsidR="00D25482">
        <w:t>its</w:t>
      </w:r>
      <w:r>
        <w:t xml:space="preserve"> face alleges an act of Prohibited Conduct, and if so, whether the conduct is covered by the </w:t>
      </w:r>
      <w:r>
        <w:rPr>
          <w:i/>
          <w:iCs/>
        </w:rPr>
        <w:t>NHSC SVSH Policy.</w:t>
      </w:r>
      <w:r w:rsidR="00870AE0">
        <w:rPr>
          <w:i/>
          <w:iCs/>
        </w:rPr>
        <w:t xml:space="preserve"> </w:t>
      </w:r>
      <w:r w:rsidR="00870AE0">
        <w:t>Title IX further assess which policy version to use, based on</w:t>
      </w:r>
      <w:r w:rsidR="00F0255D">
        <w:t xml:space="preserve"> the date of the conduct, and which Response Procedures to use, based on the respondent’s identity </w:t>
      </w:r>
      <w:r w:rsidR="00F0255D">
        <w:lastRenderedPageBreak/>
        <w:t xml:space="preserve">and relationship to NHSC (i.e., student, staff, non-faculty academic </w:t>
      </w:r>
      <w:r w:rsidR="00FA1B78">
        <w:t>personnel, faculty</w:t>
      </w:r>
      <w:r w:rsidR="00F0255D">
        <w:t>, non- faculty, Board of Directors).</w:t>
      </w:r>
    </w:p>
    <w:p w14:paraId="57F5866B" w14:textId="077731F2" w:rsidR="00F0255D" w:rsidRDefault="00B848E9" w:rsidP="00B95FDB">
      <w:pPr>
        <w:spacing w:before="240" w:after="360"/>
      </w:pPr>
      <w:r>
        <w:t>Initial Review and Inquiry</w:t>
      </w:r>
    </w:p>
    <w:p w14:paraId="2B5D817C" w14:textId="37E59F36" w:rsidR="00B848E9" w:rsidRDefault="00B848E9" w:rsidP="00B95FDB">
      <w:pPr>
        <w:spacing w:before="240" w:after="360"/>
      </w:pPr>
      <w:r>
        <w:t xml:space="preserve">Upon receipt of a report of Sexual Violence, Title IX will make outreach to the </w:t>
      </w:r>
      <w:r w:rsidR="00EC1B79">
        <w:t xml:space="preserve">complainant to offer the services of the Title IX </w:t>
      </w:r>
      <w:r w:rsidR="006A6D79">
        <w:t xml:space="preserve">Office and provide them with a written explanation of their rights, options, and resources.  The </w:t>
      </w:r>
      <w:r w:rsidR="006A6D79">
        <w:rPr>
          <w:i/>
          <w:iCs/>
        </w:rPr>
        <w:t xml:space="preserve">Rights, Options, and Resources for Impacted Parties </w:t>
      </w:r>
      <w:r w:rsidR="006A6D79">
        <w:t>guide is included in this email outreach.  The party is not required to respond to the Title IX Office’s out</w:t>
      </w:r>
      <w:r w:rsidR="00457760">
        <w:t>reach and their participation in the process is voluntary.</w:t>
      </w:r>
    </w:p>
    <w:p w14:paraId="2E355AB0" w14:textId="1C195471" w:rsidR="008F4455" w:rsidRDefault="008F4455" w:rsidP="00B95FDB">
      <w:pPr>
        <w:spacing w:before="240" w:after="360"/>
      </w:pPr>
      <w:r>
        <w:t>The Rights, Options, and Resources for Impacted Parties guide includes the following information:</w:t>
      </w:r>
      <w:r w:rsidR="00CC33A5">
        <w:t xml:space="preserve"> </w:t>
      </w:r>
    </w:p>
    <w:p w14:paraId="3E4E9A35" w14:textId="04498245" w:rsidR="008F4455" w:rsidRDefault="00A90422" w:rsidP="006A64BD">
      <w:pPr>
        <w:pStyle w:val="ListParagraph"/>
        <w:numPr>
          <w:ilvl w:val="0"/>
          <w:numId w:val="42"/>
        </w:numPr>
        <w:spacing w:before="240" w:after="360"/>
      </w:pPr>
      <w:r>
        <w:t>How and to whom to report alleged violations.</w:t>
      </w:r>
    </w:p>
    <w:p w14:paraId="00B2C2E5" w14:textId="0BABAFDB" w:rsidR="00A90422" w:rsidRDefault="00A90422" w:rsidP="006A64BD">
      <w:pPr>
        <w:pStyle w:val="ListParagraph"/>
        <w:numPr>
          <w:ilvl w:val="0"/>
          <w:numId w:val="42"/>
        </w:numPr>
        <w:spacing w:before="240" w:after="360"/>
      </w:pPr>
      <w:r>
        <w:t xml:space="preserve">Options for notifying law enforcement and campus authorities; the right to be assisted by campus authorities </w:t>
      </w:r>
      <w:r w:rsidR="00403D59">
        <w:t>in notifying law enforcement if the complainant so chooses; and the right to decline to notify such authorities.</w:t>
      </w:r>
    </w:p>
    <w:p w14:paraId="3760626D" w14:textId="0FE7CB33" w:rsidR="00403D59" w:rsidRDefault="00403D59" w:rsidP="006A64BD">
      <w:pPr>
        <w:pStyle w:val="ListParagraph"/>
        <w:numPr>
          <w:ilvl w:val="0"/>
          <w:numId w:val="42"/>
        </w:numPr>
        <w:spacing w:before="240" w:after="360"/>
      </w:pPr>
      <w:r>
        <w:t>The rights of complainants regarding orders of protection, No-Contact Orders, restraining orders, or similar orders issued</w:t>
      </w:r>
      <w:r w:rsidR="001442F3">
        <w:t xml:space="preserve"> by criminal or civil courts, as well as NHSC’s responsibilities to comply with such orders.</w:t>
      </w:r>
    </w:p>
    <w:p w14:paraId="0938F4B8" w14:textId="76C85D9A" w:rsidR="001442F3" w:rsidRDefault="001442F3" w:rsidP="006A64BD">
      <w:pPr>
        <w:pStyle w:val="ListParagraph"/>
        <w:numPr>
          <w:ilvl w:val="0"/>
          <w:numId w:val="42"/>
        </w:numPr>
        <w:spacing w:before="240" w:after="360"/>
      </w:pPr>
      <w:r>
        <w:t>The importance of preserving evidence that may assis</w:t>
      </w:r>
      <w:r w:rsidR="008B21C6">
        <w:t>t in proving that a criminal offense occurred or in obtaining a protection order.</w:t>
      </w:r>
    </w:p>
    <w:p w14:paraId="626B0BCB" w14:textId="52028E37" w:rsidR="008B21C6" w:rsidRDefault="008B21C6" w:rsidP="006A64BD">
      <w:pPr>
        <w:pStyle w:val="ListParagraph"/>
        <w:numPr>
          <w:ilvl w:val="0"/>
          <w:numId w:val="42"/>
        </w:numPr>
        <w:spacing w:before="240" w:after="360"/>
      </w:pPr>
      <w:r>
        <w:t>Counseling, health assistance</w:t>
      </w:r>
      <w:r w:rsidR="008151DD">
        <w:t>, mental health assistance, victim advocacy, legal assistance, visa and immigration</w:t>
      </w:r>
      <w:r w:rsidR="006D0383">
        <w:t xml:space="preserve"> assistance, financial </w:t>
      </w:r>
      <w:r w:rsidR="00AC0D8E">
        <w:t>aid assistance and other services available within both NHSC</w:t>
      </w:r>
      <w:r w:rsidR="00581472">
        <w:t xml:space="preserve"> and the community (including information regarding confidential resources).</w:t>
      </w:r>
    </w:p>
    <w:p w14:paraId="4F10E0B0" w14:textId="22FA3BBC" w:rsidR="00581472" w:rsidRDefault="00581472" w:rsidP="006A64BD">
      <w:pPr>
        <w:pStyle w:val="ListParagraph"/>
        <w:numPr>
          <w:ilvl w:val="0"/>
          <w:numId w:val="42"/>
        </w:numPr>
        <w:spacing w:before="240" w:after="360"/>
      </w:pPr>
      <w:r>
        <w:t>Options for, and available assistance to, a change to academic, living, transportation, and working situations</w:t>
      </w:r>
      <w:r w:rsidR="00716B45">
        <w:t xml:space="preserve">, if the complainant requests and if such options are reasonably </w:t>
      </w:r>
      <w:r w:rsidR="00716B45">
        <w:lastRenderedPageBreak/>
        <w:t>available regardless of whether the complainant chooses to report the alleged conduct to law enforcement.</w:t>
      </w:r>
    </w:p>
    <w:p w14:paraId="46E4E868" w14:textId="306B3694" w:rsidR="00716B45" w:rsidRDefault="00716B45" w:rsidP="006A64BD">
      <w:pPr>
        <w:pStyle w:val="ListParagraph"/>
        <w:numPr>
          <w:ilvl w:val="0"/>
          <w:numId w:val="42"/>
        </w:numPr>
        <w:spacing w:before="240" w:after="360"/>
      </w:pPr>
      <w:r>
        <w:t>Applicable procedures for insti</w:t>
      </w:r>
      <w:r w:rsidR="00356392">
        <w:t>tutional disciplinary action.</w:t>
      </w:r>
    </w:p>
    <w:p w14:paraId="5DA6CF83" w14:textId="7FFAB451" w:rsidR="00B82496" w:rsidRDefault="00356392" w:rsidP="00356392">
      <w:pPr>
        <w:spacing w:before="240" w:after="360"/>
        <w:rPr>
          <w:i/>
          <w:iCs/>
        </w:rPr>
      </w:pPr>
      <w:r>
        <w:t xml:space="preserve">Upon completion of an intake interview with the complainant, Title IX will determine the most appropriate response and any supportive measures.  Title IX will identify the policy (or policies) applicable to the report based on the date of the incident and reported behavior and will assess whether </w:t>
      </w:r>
      <w:r w:rsidR="00B82496">
        <w:t xml:space="preserve">the alleged conduct is DOE-Covered Conduct, other Prohibited Conduct, or a combination of the two, per the </w:t>
      </w:r>
      <w:r w:rsidR="00B82496">
        <w:rPr>
          <w:i/>
          <w:iCs/>
        </w:rPr>
        <w:t>NHSC SVSH Policy.</w:t>
      </w:r>
    </w:p>
    <w:p w14:paraId="0B56E07E" w14:textId="639041D0" w:rsidR="00B82496" w:rsidRDefault="00B82496" w:rsidP="00356392">
      <w:pPr>
        <w:spacing w:before="240" w:after="360"/>
      </w:pPr>
      <w:r>
        <w:t>NHSC</w:t>
      </w:r>
      <w:r w:rsidR="00E446B2">
        <w:t xml:space="preserve"> will strive to honor the stated wishes of the complainant concerning whether to move forward with an investigation and take into consideration any safety concerns for the involved individuals.  There may be circumstances, however, in which NHSC may need to move forward against the complainant’s wishes, or in which NHSC may determine</w:t>
      </w:r>
      <w:r w:rsidR="009A738A">
        <w:t xml:space="preserve"> that an investigation will not occur despite the complainant’s wish to pursue an investigation.  In such cases, the Title IX Officer, or their designee, will make this determination after completing an initial inquiry into the facts.</w:t>
      </w:r>
    </w:p>
    <w:p w14:paraId="301ABAF2" w14:textId="12016DF0" w:rsidR="009A738A" w:rsidRDefault="00D370DF" w:rsidP="00356392">
      <w:pPr>
        <w:spacing w:before="240" w:after="360"/>
      </w:pPr>
      <w:r>
        <w:t>If the complainant declines to respond to Title IX</w:t>
      </w:r>
      <w:r w:rsidR="00E2519E">
        <w:t>’s outreach.  Title IX will determine how best to respond to the matter based on the available</w:t>
      </w:r>
      <w:r w:rsidR="009A786B">
        <w:t xml:space="preserve"> information.  Title IX will advise the complainant in writing via email of the final response decision with rationale for that determination, and </w:t>
      </w:r>
      <w:r w:rsidR="00753580">
        <w:t>proceed accordingly thereafter, unless the complainant has stated in writing they do not want to receive information from Title IX.</w:t>
      </w:r>
    </w:p>
    <w:p w14:paraId="6A6B91FC" w14:textId="10CB5E54" w:rsidR="003A0330" w:rsidRPr="00F958B5" w:rsidRDefault="00753580" w:rsidP="00356392">
      <w:pPr>
        <w:spacing w:before="240" w:after="360"/>
      </w:pPr>
      <w:r>
        <w:t>During the initial assessment, the Title IX Officer may consult with other offices, as necessary.  This may include Academic Personnel Office for complaints involving faculty and other academic</w:t>
      </w:r>
      <w:r w:rsidR="000742B3">
        <w:t xml:space="preserve"> appointees, Student Affairs Offices for complaints involving students, and/or Human Resources or Employee &amp; Labor Relations Offices for complaints involving staff.</w:t>
      </w:r>
    </w:p>
    <w:p w14:paraId="4A9E80F0" w14:textId="77777777" w:rsidR="00AE3B1A" w:rsidRDefault="00AE3B1A" w:rsidP="00356392">
      <w:pPr>
        <w:spacing w:before="240" w:after="360"/>
        <w:rPr>
          <w:color w:val="0072C6" w:themeColor="accent1"/>
        </w:rPr>
      </w:pPr>
    </w:p>
    <w:p w14:paraId="10C46408" w14:textId="1F3B8D0A" w:rsidR="004B7846" w:rsidRDefault="004B7846" w:rsidP="00356392">
      <w:pPr>
        <w:spacing w:before="240" w:after="360"/>
        <w:rPr>
          <w:color w:val="0072C6" w:themeColor="accent1"/>
        </w:rPr>
      </w:pPr>
      <w:r>
        <w:rPr>
          <w:color w:val="0072C6" w:themeColor="accent1"/>
        </w:rPr>
        <w:lastRenderedPageBreak/>
        <w:t>Consideration of Safety Measures</w:t>
      </w:r>
    </w:p>
    <w:p w14:paraId="6D3A9BCA" w14:textId="78752940" w:rsidR="004B7846" w:rsidRDefault="004B7846" w:rsidP="00356392">
      <w:pPr>
        <w:spacing w:before="240" w:after="360"/>
      </w:pPr>
      <w:r>
        <w:t xml:space="preserve">In addition to supportive measures discussed in the </w:t>
      </w:r>
      <w:r w:rsidR="00DE285A">
        <w:rPr>
          <w:i/>
          <w:iCs/>
        </w:rPr>
        <w:t>NHSC SVSH Policy,</w:t>
      </w:r>
      <w:r w:rsidR="00DE285A">
        <w:t xml:space="preserve"> Title IX may take other measures per other NHSC policies to address safety concerns.</w:t>
      </w:r>
    </w:p>
    <w:p w14:paraId="75EB4C4D" w14:textId="54659BBF" w:rsidR="00DE285A" w:rsidRDefault="00DE285A" w:rsidP="00356392">
      <w:pPr>
        <w:spacing w:before="240" w:after="360"/>
      </w:pPr>
      <w:r>
        <w:t xml:space="preserve">The Title IX Officer, in coordination with the Case Management Team, and in consultation with the complainant, when possible, will make an immediate assessment of the health and safety of the </w:t>
      </w:r>
      <w:r w:rsidRPr="009F13E1">
        <w:rPr>
          <w:b/>
          <w:bCs/>
        </w:rPr>
        <w:t>com</w:t>
      </w:r>
      <w:r w:rsidR="004C6D0A" w:rsidRPr="009F13E1">
        <w:rPr>
          <w:b/>
          <w:bCs/>
        </w:rPr>
        <w:t>plainant</w:t>
      </w:r>
      <w:r w:rsidR="004C6D0A">
        <w:t xml:space="preserve"> and the campus community, and determine and oversee safety measures that are immediately necessary.</w:t>
      </w:r>
    </w:p>
    <w:p w14:paraId="1117FF4B" w14:textId="3492A01B" w:rsidR="004C6D0A" w:rsidRDefault="004C6D0A" w:rsidP="00356392">
      <w:pPr>
        <w:spacing w:before="240" w:after="360"/>
      </w:pPr>
      <w:r>
        <w:t>In determining</w:t>
      </w:r>
      <w:r w:rsidR="00B114CC">
        <w:t xml:space="preserve"> safety measures, Title IX will tailor the measures to the circumstances of each case, reevaluate</w:t>
      </w:r>
      <w:r w:rsidR="00A8479E">
        <w:t xml:space="preserve"> the effectiveness and need for the measures as circumstances cha</w:t>
      </w:r>
      <w:r w:rsidR="00904BBB">
        <w:t>nge, minimize burdens on the parties, and avoid depriving the parties of educational and employment opportunities</w:t>
      </w:r>
      <w:r w:rsidR="009F13E1">
        <w:t xml:space="preserve"> as much as practicable.</w:t>
      </w:r>
    </w:p>
    <w:p w14:paraId="56871C82" w14:textId="41B91F8E" w:rsidR="009F13E1" w:rsidRDefault="009F13E1" w:rsidP="00356392">
      <w:pPr>
        <w:spacing w:before="240" w:after="360"/>
        <w:rPr>
          <w:b/>
          <w:bCs/>
        </w:rPr>
      </w:pPr>
      <w:r>
        <w:rPr>
          <w:b/>
          <w:bCs/>
        </w:rPr>
        <w:t>Resolution and Investigation Processes</w:t>
      </w:r>
    </w:p>
    <w:p w14:paraId="6F3534CD" w14:textId="356E150D" w:rsidR="009F13E1" w:rsidRDefault="009F13E1" w:rsidP="00356392">
      <w:pPr>
        <w:spacing w:before="240" w:after="360"/>
      </w:pPr>
      <w:r>
        <w:t>Reports of Sexual Violence that are not closed after Title IX’s initial assessment may be addressed through Alternative Resolution, a Formal Investigation, a DOE Grievance Process, or Other Inquiry.</w:t>
      </w:r>
    </w:p>
    <w:p w14:paraId="7626FC8B" w14:textId="71F1D5F7" w:rsidR="00094718" w:rsidRDefault="00094718" w:rsidP="00356392">
      <w:pPr>
        <w:spacing w:before="240" w:after="360"/>
        <w:rPr>
          <w:color w:val="0072C6" w:themeColor="accent1"/>
        </w:rPr>
      </w:pPr>
      <w:r>
        <w:rPr>
          <w:color w:val="0072C6" w:themeColor="accent1"/>
        </w:rPr>
        <w:t>Alternative Resolution</w:t>
      </w:r>
    </w:p>
    <w:p w14:paraId="27EF8265" w14:textId="3B32D059" w:rsidR="003A0330" w:rsidRDefault="00094718" w:rsidP="00356392">
      <w:pPr>
        <w:spacing w:before="240" w:after="360"/>
      </w:pPr>
      <w:r>
        <w:t>After an initial</w:t>
      </w:r>
      <w:r w:rsidR="0063505E">
        <w:t xml:space="preserve"> assessment of the alleged facts, the Title IX Officer may – if the complainant and respondent agree in writing – begin </w:t>
      </w:r>
      <w:r w:rsidR="00276B77">
        <w:t>an Alternative Resolution process.  Alternative Resolution is not available when the complainant is a student, and the respondent is an employee.  In other cases</w:t>
      </w:r>
      <w:r w:rsidR="00C86529">
        <w:t>, the Title IX Officer will, if appropriate, begin the process</w:t>
      </w:r>
      <w:r w:rsidR="000F1CB2">
        <w:t xml:space="preserve"> in consultation with other offices depending on whether the complainant and respondent are faculty, </w:t>
      </w:r>
      <w:r w:rsidR="00833DC8">
        <w:t xml:space="preserve">other </w:t>
      </w:r>
      <w:r w:rsidR="007A6277">
        <w:t>academic appointees, staff, student employees, or students.</w:t>
      </w:r>
    </w:p>
    <w:p w14:paraId="57631876" w14:textId="77777777" w:rsidR="00AE3B1A" w:rsidRDefault="00AE3B1A" w:rsidP="00356392">
      <w:pPr>
        <w:spacing w:before="240" w:after="360"/>
      </w:pPr>
    </w:p>
    <w:p w14:paraId="4BE8B8A3" w14:textId="3DC55BE4" w:rsidR="007A6277" w:rsidRDefault="007A6277" w:rsidP="00356392">
      <w:pPr>
        <w:spacing w:before="240" w:after="360"/>
      </w:pPr>
      <w:r>
        <w:lastRenderedPageBreak/>
        <w:t>A</w:t>
      </w:r>
      <w:r w:rsidR="008D6334">
        <w:t>lternative Resolution may include, among other responses:</w:t>
      </w:r>
    </w:p>
    <w:p w14:paraId="16FD5F71" w14:textId="2E496616" w:rsidR="00A50693" w:rsidRDefault="00DD1969" w:rsidP="006A64BD">
      <w:pPr>
        <w:pStyle w:val="ListParagraph"/>
        <w:numPr>
          <w:ilvl w:val="0"/>
          <w:numId w:val="43"/>
        </w:numPr>
        <w:spacing w:before="240" w:after="360"/>
      </w:pPr>
      <w:r>
        <w:t>Separating the parties;</w:t>
      </w:r>
    </w:p>
    <w:p w14:paraId="7657D0FB" w14:textId="6CF15415" w:rsidR="00DD1969" w:rsidRDefault="0027198C" w:rsidP="006A64BD">
      <w:pPr>
        <w:pStyle w:val="ListParagraph"/>
        <w:numPr>
          <w:ilvl w:val="0"/>
          <w:numId w:val="43"/>
        </w:numPr>
        <w:spacing w:before="240" w:after="360"/>
      </w:pPr>
      <w:r>
        <w:t>Providing for safety;</w:t>
      </w:r>
    </w:p>
    <w:p w14:paraId="32E24657" w14:textId="3109B6AE" w:rsidR="0027198C" w:rsidRDefault="0027198C" w:rsidP="006A64BD">
      <w:pPr>
        <w:pStyle w:val="ListParagraph"/>
        <w:numPr>
          <w:ilvl w:val="0"/>
          <w:numId w:val="43"/>
        </w:numPr>
        <w:spacing w:before="240" w:after="360"/>
      </w:pPr>
      <w:r>
        <w:t>Referring the parties to counseling;</w:t>
      </w:r>
    </w:p>
    <w:p w14:paraId="3114B4CC" w14:textId="44A31E0B" w:rsidR="0027198C" w:rsidRDefault="00380359" w:rsidP="006A64BD">
      <w:pPr>
        <w:pStyle w:val="ListParagraph"/>
        <w:numPr>
          <w:ilvl w:val="0"/>
          <w:numId w:val="43"/>
        </w:numPr>
        <w:spacing w:before="240" w:after="360"/>
      </w:pPr>
      <w:r>
        <w:t>M</w:t>
      </w:r>
      <w:r w:rsidR="0027198C">
        <w:t>ediation</w:t>
      </w:r>
      <w:r>
        <w:t xml:space="preserve"> (except in cases of Sexual Violence);</w:t>
      </w:r>
    </w:p>
    <w:p w14:paraId="47952AA8" w14:textId="1E385750" w:rsidR="00380359" w:rsidRDefault="009C5B22" w:rsidP="006A64BD">
      <w:pPr>
        <w:pStyle w:val="ListParagraph"/>
        <w:numPr>
          <w:ilvl w:val="0"/>
          <w:numId w:val="43"/>
        </w:numPr>
        <w:spacing w:before="240" w:after="360"/>
      </w:pPr>
      <w:r>
        <w:t>Referral for disciplinary action;</w:t>
      </w:r>
    </w:p>
    <w:p w14:paraId="5A4EC32F" w14:textId="03CB36C6" w:rsidR="009C5B22" w:rsidRDefault="00D5158B" w:rsidP="006A64BD">
      <w:pPr>
        <w:pStyle w:val="ListParagraph"/>
        <w:numPr>
          <w:ilvl w:val="0"/>
          <w:numId w:val="43"/>
        </w:numPr>
        <w:spacing w:before="240" w:after="360"/>
      </w:pPr>
      <w:r>
        <w:t>An agreement between the parties; and</w:t>
      </w:r>
    </w:p>
    <w:p w14:paraId="0C153257" w14:textId="4C359F10" w:rsidR="00D5158B" w:rsidRDefault="00D5158B" w:rsidP="006A64BD">
      <w:pPr>
        <w:pStyle w:val="ListParagraph"/>
        <w:numPr>
          <w:ilvl w:val="0"/>
          <w:numId w:val="43"/>
        </w:numPr>
        <w:spacing w:before="240" w:after="360"/>
      </w:pPr>
      <w:r>
        <w:t>Conducting a follow-up review to ensure that the res</w:t>
      </w:r>
      <w:r w:rsidR="00F27026">
        <w:t>olution has been carried out effectively.</w:t>
      </w:r>
    </w:p>
    <w:p w14:paraId="1A4B63A7" w14:textId="061D582D" w:rsidR="00F27026" w:rsidRDefault="003D3444" w:rsidP="00F27026">
      <w:pPr>
        <w:spacing w:before="240" w:after="360"/>
      </w:pPr>
      <w:r>
        <w:t>Alternative Resolution may be especially useful when:  an investigation is not likely to lead to a resolution</w:t>
      </w:r>
      <w:r w:rsidR="005B7A1F">
        <w:t>; both parties prefer an informal process; or a case involves</w:t>
      </w:r>
      <w:r w:rsidR="00216CF4">
        <w:t xml:space="preserve"> less serious allegations.  The Title IX Officer has discretion to determine whether the complaint is appropriate</w:t>
      </w:r>
      <w:r w:rsidR="005F74E2">
        <w:t xml:space="preserve"> for Alternative Resolution, to determine the type of resolution to pursue, and to stop the process at any </w:t>
      </w:r>
      <w:r w:rsidR="001D58E0">
        <w:t>time before its conclusion and move to a Formal Investigation or a DOE Grievance Process.</w:t>
      </w:r>
    </w:p>
    <w:p w14:paraId="7520FD02" w14:textId="22F6A117" w:rsidR="001D58E0" w:rsidRDefault="00D45A16" w:rsidP="00F27026">
      <w:pPr>
        <w:spacing w:before="240" w:after="360"/>
      </w:pPr>
      <w:r>
        <w:t>Participation in Alternative Resolution is voluntary; both parties must agree to participate.  If Alternative Resolution is selected, the Title IX Officer</w:t>
      </w:r>
      <w:r w:rsidR="00DC1A51">
        <w:t xml:space="preserve"> will provide timely written notice to both parties of the allegations, and that: the Title IX Officer has begun to process, the process is voluntary and will terminate</w:t>
      </w:r>
      <w:r w:rsidR="009768EE">
        <w:t xml:space="preserve"> upon either party’s request, termination may result in a Formal Investigation or DOE Grievan</w:t>
      </w:r>
      <w:r w:rsidR="008C1451">
        <w:t>ce Process, they may be accompanied by an advisor th</w:t>
      </w:r>
      <w:r w:rsidR="00540D83">
        <w:t>r</w:t>
      </w:r>
      <w:r w:rsidR="008C1451">
        <w:t>oughout the process, the Title IX Officer will notify both parties of the process</w:t>
      </w:r>
      <w:r w:rsidR="00540D83">
        <w:t>’s outcome</w:t>
      </w:r>
      <w:r w:rsidR="00B375CB">
        <w:t>, and the process is private but not confidential (i.e., records from and information</w:t>
      </w:r>
      <w:r w:rsidR="00BC14F1">
        <w:t xml:space="preserve"> shared during the process may be considered in any subsequent resolution process.)</w:t>
      </w:r>
    </w:p>
    <w:p w14:paraId="7CE71899" w14:textId="7F7F42EA" w:rsidR="00BC14F1" w:rsidRDefault="00A44958" w:rsidP="00F27026">
      <w:pPr>
        <w:spacing w:before="240" w:after="360"/>
      </w:pPr>
      <w:r>
        <w:t xml:space="preserve">Alternative Resolution will be completed promptly, typically within 30 to 60 business days of notifying the parties in writing of starting </w:t>
      </w:r>
      <w:r w:rsidR="00BB46D3">
        <w:t xml:space="preserve">the process.  However, the Title IX Officer may extend </w:t>
      </w:r>
      <w:r w:rsidR="00AE3B1A">
        <w:t>the past</w:t>
      </w:r>
      <w:r w:rsidR="00BB46D3">
        <w:t xml:space="preserve"> 60 days for good cause.  The Title IX Officer will notify the parties</w:t>
      </w:r>
      <w:r w:rsidR="00D162F5">
        <w:t xml:space="preserve"> in writing of the reason for any extension and the projected new timeline.  The actual time required will depend </w:t>
      </w:r>
      <w:r w:rsidR="00D162F5">
        <w:lastRenderedPageBreak/>
        <w:t>on the specific circumstances, including the complexity of the allegations and the nature of the alleged conduct.</w:t>
      </w:r>
    </w:p>
    <w:p w14:paraId="4AB04814" w14:textId="1417E9AE" w:rsidR="00D162F5" w:rsidRDefault="00D162F5" w:rsidP="00F27026">
      <w:pPr>
        <w:spacing w:before="240" w:after="360"/>
      </w:pPr>
      <w:r>
        <w:t>Once the parties have agreed to the terms of an Alternative Resolution, NHSC</w:t>
      </w:r>
      <w:r w:rsidR="009E027B">
        <w:t xml:space="preserve"> will not conduct a Formal Investigation or DOE Grievance Process unless the Title IX Officer determines that the respondent</w:t>
      </w:r>
      <w:r w:rsidR="00FE4837">
        <w:t xml:space="preserve"> failed to satisfy the terms of the Alternative Resolution, or that the Alternative Resolution was unsuccessful in stopping the Prohibited conduct or preventing its recurrence.</w:t>
      </w:r>
    </w:p>
    <w:p w14:paraId="7F0189E2" w14:textId="36FDB435" w:rsidR="00FE4837" w:rsidRDefault="00FE4837" w:rsidP="00F27026">
      <w:pPr>
        <w:spacing w:before="240" w:after="360"/>
        <w:rPr>
          <w:color w:val="0072C6" w:themeColor="accent1"/>
        </w:rPr>
      </w:pPr>
      <w:r>
        <w:rPr>
          <w:color w:val="0072C6" w:themeColor="accent1"/>
        </w:rPr>
        <w:t>Formal Investigation or DOE Grievance Process</w:t>
      </w:r>
    </w:p>
    <w:p w14:paraId="4FC7F287" w14:textId="5B60C903" w:rsidR="00FE4837" w:rsidRDefault="00FE4837" w:rsidP="00F27026">
      <w:pPr>
        <w:spacing w:before="240" w:after="360"/>
      </w:pPr>
      <w:r>
        <w:t xml:space="preserve">Title IX will </w:t>
      </w:r>
      <w:r w:rsidR="00CB2CAD">
        <w:t>initiate</w:t>
      </w:r>
      <w:r>
        <w:t xml:space="preserve"> a </w:t>
      </w:r>
      <w:r w:rsidR="00CB2CAD">
        <w:t>Formal Investigation of non-DOE Covered Conduct when a ma</w:t>
      </w:r>
      <w:r w:rsidR="00A86F76">
        <w:t>t</w:t>
      </w:r>
      <w:r w:rsidR="00CB2CAD">
        <w:t xml:space="preserve">ter is not closed after an initial assessment, and an investigation is determined to be the most appropriate response.  Title IX will initiate a DOE Grievance Process with it is determined necessary per the </w:t>
      </w:r>
      <w:r w:rsidR="00CB2CAD">
        <w:rPr>
          <w:i/>
          <w:iCs/>
        </w:rPr>
        <w:t>NHSC SVSH Policy</w:t>
      </w:r>
      <w:r w:rsidR="00033D13">
        <w:rPr>
          <w:i/>
          <w:iCs/>
        </w:rPr>
        <w:t xml:space="preserve">.  </w:t>
      </w:r>
      <w:r w:rsidR="00033D13">
        <w:t>When NHSC opens an investigation of allegations of DOE-Covered Conduct</w:t>
      </w:r>
      <w:r w:rsidR="00071C07">
        <w:t xml:space="preserve"> and other Prohibited Conduct that arise out of the same facts or circumstances, it will address all allegations together through the DOE </w:t>
      </w:r>
      <w:r w:rsidR="00AF1EF6">
        <w:t>Grievance Process.</w:t>
      </w:r>
    </w:p>
    <w:p w14:paraId="257A830C" w14:textId="22703180" w:rsidR="00AF1EF6" w:rsidRDefault="00AF1EF6" w:rsidP="00F27026">
      <w:pPr>
        <w:spacing w:before="240" w:after="360"/>
      </w:pPr>
      <w:r>
        <w:t>All administrative investigations of Sexual Violence are conducted by Title IX, unless otherwise designated by the Title IX Officer.</w:t>
      </w:r>
    </w:p>
    <w:p w14:paraId="20D7A2D2" w14:textId="4C393F4C" w:rsidR="00AF1EF6" w:rsidRDefault="00AF1EF6" w:rsidP="00F27026">
      <w:pPr>
        <w:spacing w:before="240" w:after="360"/>
      </w:pPr>
      <w:r>
        <w:t xml:space="preserve">The following are </w:t>
      </w:r>
      <w:r w:rsidR="005E20EC">
        <w:t>applications</w:t>
      </w:r>
      <w:r>
        <w:t xml:space="preserve"> to </w:t>
      </w:r>
      <w:r w:rsidRPr="001450EB">
        <w:rPr>
          <w:b/>
          <w:bCs/>
        </w:rPr>
        <w:t>Formal Investigations and DOE Grievance Processes</w:t>
      </w:r>
      <w:r w:rsidR="005E20EC">
        <w:t>:</w:t>
      </w:r>
    </w:p>
    <w:p w14:paraId="2B03D403" w14:textId="5A8DE9AA" w:rsidR="00AF1EF6" w:rsidRDefault="00AF1EF6" w:rsidP="00F27026">
      <w:pPr>
        <w:spacing w:before="240" w:after="360"/>
      </w:pPr>
      <w:r>
        <w:rPr>
          <w:b/>
          <w:bCs/>
        </w:rPr>
        <w:t xml:space="preserve">Note of Charges:  </w:t>
      </w:r>
      <w:r>
        <w:t>Upon initiation of an investigation, Title IX will send written notice of the investigation and charges simultaneously to the complainant and student respondent.</w:t>
      </w:r>
    </w:p>
    <w:p w14:paraId="5EE3EAF7" w14:textId="61E9244A" w:rsidR="00AF1EF6" w:rsidRDefault="00DB5F26" w:rsidP="006A64BD">
      <w:pPr>
        <w:pStyle w:val="ListParagraph"/>
        <w:numPr>
          <w:ilvl w:val="0"/>
          <w:numId w:val="44"/>
        </w:numPr>
        <w:spacing w:before="240" w:after="360"/>
      </w:pPr>
      <w:r>
        <w:rPr>
          <w:b/>
          <w:bCs/>
        </w:rPr>
        <w:t xml:space="preserve">Initiation of Investigation by the College:  </w:t>
      </w:r>
      <w:r>
        <w:t>If the complainant does not want an investigation, the Title IX Officer will seriously consider this preference.  However, the Title IX Officer may determine an investigation is necessary to mi</w:t>
      </w:r>
      <w:r w:rsidR="00136039">
        <w:t>ti</w:t>
      </w:r>
      <w:r>
        <w:t>gate a risk to the campus community</w:t>
      </w:r>
      <w:r w:rsidR="00136039">
        <w:t xml:space="preserve">.  If the Title IX Officer begins an investigation despite the complainant’s request, the Title IX Officer will provide the complainant with all information </w:t>
      </w:r>
      <w:r w:rsidR="00136039">
        <w:lastRenderedPageBreak/>
        <w:t xml:space="preserve">required by the </w:t>
      </w:r>
      <w:r w:rsidR="00136039">
        <w:rPr>
          <w:i/>
          <w:iCs/>
        </w:rPr>
        <w:t>NHSC SVSH Policy</w:t>
      </w:r>
      <w:r w:rsidR="00191063">
        <w:rPr>
          <w:i/>
          <w:iCs/>
        </w:rPr>
        <w:t xml:space="preserve"> </w:t>
      </w:r>
      <w:r w:rsidR="00191063">
        <w:t>unless the complainant states in writing that they do not want it.</w:t>
      </w:r>
    </w:p>
    <w:p w14:paraId="7C236225" w14:textId="2A6A357C" w:rsidR="00CA5F1D" w:rsidRPr="00621A28" w:rsidRDefault="00C2699D" w:rsidP="006A64BD">
      <w:pPr>
        <w:pStyle w:val="ListParagraph"/>
        <w:numPr>
          <w:ilvl w:val="0"/>
          <w:numId w:val="44"/>
        </w:numPr>
        <w:spacing w:before="240" w:after="360"/>
      </w:pPr>
      <w:r>
        <w:rPr>
          <w:b/>
        </w:rPr>
        <w:t xml:space="preserve">Additional Charges: </w:t>
      </w:r>
      <w:r>
        <w:rPr>
          <w:bCs/>
        </w:rPr>
        <w:t>If a Title IX investigator discovers new facts that could form the basis for additional policy violations or sanctions, Title IX will contemporaneously provide</w:t>
      </w:r>
      <w:r w:rsidR="007000E5">
        <w:rPr>
          <w:bCs/>
        </w:rPr>
        <w:t xml:space="preserve"> the parties with an amended Notice of Charges, </w:t>
      </w:r>
      <w:r w:rsidR="00621A28">
        <w:rPr>
          <w:bCs/>
        </w:rPr>
        <w:t>which will include both the original and new allegations and charges.  If the additional charges identified during a Formal Investigation include DOE-Covered Conduct, then the Title IX Officer will notify the parties that the case will proceed as a DOE Grievance Process.</w:t>
      </w:r>
    </w:p>
    <w:p w14:paraId="091237F4" w14:textId="01B0C6BE" w:rsidR="00621A28" w:rsidRDefault="00861377" w:rsidP="006A64BD">
      <w:pPr>
        <w:pStyle w:val="ListParagraph"/>
        <w:numPr>
          <w:ilvl w:val="0"/>
          <w:numId w:val="44"/>
        </w:numPr>
        <w:spacing w:before="240" w:after="360"/>
      </w:pPr>
      <w:r>
        <w:rPr>
          <w:b/>
        </w:rPr>
        <w:t>Supportive and Other Measures:</w:t>
      </w:r>
      <w:r>
        <w:t xml:space="preserve"> Throughout the investigation and resolution processes, NHSC will offer and provide support services for complainants for student respondents through the Respondent Services Coordinator.</w:t>
      </w:r>
      <w:r w:rsidR="00667A94">
        <w:t xml:space="preserve">  NHSC will also consider and take measures as appropriate to ensure the safety, well-being, and equal access to NHSC programs and activities of its students.</w:t>
      </w:r>
      <w:r w:rsidR="0022690B">
        <w:t xml:space="preserve">  These measures include, but are not limited to, the </w:t>
      </w:r>
      <w:r w:rsidR="00600088">
        <w:t>following; No</w:t>
      </w:r>
      <w:r w:rsidR="0022690B">
        <w:t xml:space="preserve">-Contact Orders, housing accommodations, academic support and accommodations, and counseling.  Title IX will maintain as confidential </w:t>
      </w:r>
      <w:r w:rsidR="00600088">
        <w:t>any supportive</w:t>
      </w:r>
      <w:r w:rsidR="00BD4559">
        <w:t xml:space="preserve"> measures provided to parties, to the extent such confidentiality does not impair Title IX’s ability to provide the measures.  In some cases, Title IX may need to disclose some information about a party to a third party to provide necessary accommodations.</w:t>
      </w:r>
    </w:p>
    <w:p w14:paraId="447E82EE" w14:textId="5D19FB2F" w:rsidR="00BD4559" w:rsidRDefault="00BD4559" w:rsidP="006A64BD">
      <w:pPr>
        <w:pStyle w:val="ListParagraph"/>
        <w:numPr>
          <w:ilvl w:val="0"/>
          <w:numId w:val="44"/>
        </w:numPr>
        <w:spacing w:before="240" w:after="360"/>
      </w:pPr>
      <w:r>
        <w:rPr>
          <w:b/>
        </w:rPr>
        <w:t>Complainant/Respondent Participation:</w:t>
      </w:r>
      <w:r>
        <w:t xml:space="preserve"> Neither the complainant nor the respondent is required to participate in the resolution process.  NHSC will not draw any adverse inferences from a complainant’s or respondent’s decision not to participate or to remain silent duri</w:t>
      </w:r>
      <w:r w:rsidR="007B06CC">
        <w:t>ng the process.  An investigator, decision-maker, hearing body, or appeal body may draw adverse inferences when a student selectively participates in the process, such as choosing to answer some but not all questions posed.</w:t>
      </w:r>
    </w:p>
    <w:p w14:paraId="6FC0C561" w14:textId="48C6296B" w:rsidR="007B06CC" w:rsidRDefault="007B06CC" w:rsidP="006A64BD">
      <w:pPr>
        <w:pStyle w:val="ListParagraph"/>
        <w:numPr>
          <w:ilvl w:val="0"/>
          <w:numId w:val="44"/>
        </w:numPr>
        <w:spacing w:before="240" w:after="360"/>
      </w:pPr>
      <w:r>
        <w:rPr>
          <w:b/>
        </w:rPr>
        <w:t>Timeframe:</w:t>
      </w:r>
      <w:r>
        <w:t xml:space="preserve"> The investigation shall be completed promptly, typically within 60-90 business days of it</w:t>
      </w:r>
      <w:r w:rsidR="00ED4A44">
        <w:t>s</w:t>
      </w:r>
      <w:r>
        <w:t xml:space="preserve"> initiation, which is when the Charges Notice</w:t>
      </w:r>
      <w:r w:rsidR="00ED4A44">
        <w:t xml:space="preserve"> is sent to the complainant and respondent.  However, the </w:t>
      </w:r>
      <w:r w:rsidR="00BC4207">
        <w:t xml:space="preserve">Title IX Officer may extend the timeframe past 90 days for a good cause.  The Title IX investigator will notify the parties in writing of the </w:t>
      </w:r>
      <w:r w:rsidR="00580AD8">
        <w:t xml:space="preserve">reason for any extension and the projected timeline.  The actual time required </w:t>
      </w:r>
      <w:r w:rsidR="00580AD8">
        <w:lastRenderedPageBreak/>
        <w:t>depends on the specific circumstances, including the complexity of the matter and the severity and extent of the alleged conduct.</w:t>
      </w:r>
    </w:p>
    <w:p w14:paraId="215CC617" w14:textId="510DEEC4" w:rsidR="006C4A9B" w:rsidRDefault="006C4A9B" w:rsidP="006A64BD">
      <w:pPr>
        <w:pStyle w:val="ListParagraph"/>
        <w:numPr>
          <w:ilvl w:val="0"/>
          <w:numId w:val="44"/>
        </w:numPr>
        <w:spacing w:before="240" w:after="360"/>
      </w:pPr>
      <w:r>
        <w:rPr>
          <w:b/>
        </w:rPr>
        <w:t>Coordination with Police:</w:t>
      </w:r>
      <w:r>
        <w:t xml:space="preserve"> When a law enforcement agency is conducting its own investigation, the Title IX </w:t>
      </w:r>
      <w:r w:rsidR="00294A44">
        <w:t>investigator</w:t>
      </w:r>
      <w:r>
        <w:t xml:space="preserve"> will </w:t>
      </w:r>
      <w:r w:rsidR="00294A44">
        <w:t>coordinat</w:t>
      </w:r>
      <w:r w:rsidR="007E6D50">
        <w:t xml:space="preserve">e </w:t>
      </w:r>
      <w:r w:rsidR="00294A44">
        <w:t xml:space="preserve">their fact-finding efforts with the law enforcement investigation, and upon requires of the law enforcement agency, the investigation may be delayed meeting the needs of a criminal investigation.  Any such delays shall be </w:t>
      </w:r>
      <w:r w:rsidR="00A67B84">
        <w:t>reviewed by the Title IX Officer, communicated to the parties in writing,</w:t>
      </w:r>
      <w:r w:rsidR="00294A44">
        <w:t xml:space="preserve"> and documented.</w:t>
      </w:r>
    </w:p>
    <w:p w14:paraId="766A8B98" w14:textId="4494A839" w:rsidR="007E6D50" w:rsidRDefault="007E6D50" w:rsidP="006A64BD">
      <w:pPr>
        <w:pStyle w:val="ListParagraph"/>
        <w:numPr>
          <w:ilvl w:val="0"/>
          <w:numId w:val="44"/>
        </w:numPr>
        <w:spacing w:before="240" w:after="360"/>
      </w:pPr>
      <w:r>
        <w:rPr>
          <w:b/>
        </w:rPr>
        <w:t>Investigati</w:t>
      </w:r>
      <w:r w:rsidR="0087430E">
        <w:rPr>
          <w:b/>
        </w:rPr>
        <w:t>on</w:t>
      </w:r>
      <w:r>
        <w:rPr>
          <w:b/>
        </w:rPr>
        <w:t xml:space="preserve"> Process:</w:t>
      </w:r>
      <w:r>
        <w:t xml:space="preserve"> </w:t>
      </w:r>
      <w:r w:rsidR="0087430E">
        <w:t>The Title IX Officer will oversee NHSC investigation and will design</w:t>
      </w:r>
      <w:r w:rsidR="00363672">
        <w:t>ate an investigator to conduct a fair, thorough, and impartial investigation.  While the parties have the right to identify evidence and witnesses, NHSC bears the burden of proof and of gathering evidence sufficient to reach a determination regarding responsibility.</w:t>
      </w:r>
    </w:p>
    <w:p w14:paraId="419796EF" w14:textId="1762E0BA" w:rsidR="008759CF" w:rsidRDefault="008759CF" w:rsidP="008759CF">
      <w:pPr>
        <w:spacing w:before="240" w:after="360"/>
      </w:pPr>
      <w:r>
        <w:t>During the investigation, the complainant and respondent will be provided an equal opportunity to meet with the investigator, submit evidence, identify witnesses who may have relevant information, and propose questions for the investigator to ask the other party and witnesses.</w:t>
      </w:r>
    </w:p>
    <w:p w14:paraId="7AF62126" w14:textId="34B0235F" w:rsidR="008759CF" w:rsidRDefault="003C2E55" w:rsidP="006A64BD">
      <w:pPr>
        <w:pStyle w:val="ListParagraph"/>
        <w:numPr>
          <w:ilvl w:val="0"/>
          <w:numId w:val="45"/>
        </w:numPr>
        <w:spacing w:before="240" w:after="360"/>
      </w:pPr>
      <w:r>
        <w:t xml:space="preserve">The investigator will meet separately with </w:t>
      </w:r>
      <w:r w:rsidR="00F8300C">
        <w:t>the complainant, respondent, and witnesses, and will gather other available and relevant evidence.</w:t>
      </w:r>
    </w:p>
    <w:p w14:paraId="7A9D724D" w14:textId="34959AB8" w:rsidR="00F8300C" w:rsidRDefault="00F8300C" w:rsidP="006A64BD">
      <w:pPr>
        <w:pStyle w:val="ListParagraph"/>
        <w:numPr>
          <w:ilvl w:val="0"/>
          <w:numId w:val="45"/>
        </w:numPr>
        <w:spacing w:before="240" w:after="360"/>
      </w:pPr>
      <w:r>
        <w:t>Before the investigator concludes the investigation and finalizes a written report, both the complainant</w:t>
      </w:r>
      <w:r w:rsidR="00564503">
        <w:t xml:space="preserve"> and the respondent will have an equal opportunity to review and respond to the evidence.  This is true regardless of whether a party has participated in the investigation.</w:t>
      </w:r>
    </w:p>
    <w:p w14:paraId="197F42D6" w14:textId="3564264F" w:rsidR="00564503" w:rsidRDefault="00564503" w:rsidP="006A64BD">
      <w:pPr>
        <w:pStyle w:val="ListParagraph"/>
        <w:numPr>
          <w:ilvl w:val="0"/>
          <w:numId w:val="45"/>
        </w:numPr>
        <w:spacing w:before="240" w:after="360"/>
      </w:pPr>
      <w:r>
        <w:t>The investigator will prepare a written report that includes the factual allegations and alleged policy viola</w:t>
      </w:r>
      <w:r w:rsidR="000E32AC">
        <w:t>tions, statements of the parties and witnesses, a summary of the evidence the investigator considered, findings of fact, credibility determination</w:t>
      </w:r>
      <w:r w:rsidR="00646238">
        <w:t>s when appropriate, an analysis of whether a policy violation has occurred, and a preliminary determination</w:t>
      </w:r>
      <w:r w:rsidR="0059649C">
        <w:t xml:space="preserve"> regarding whether there are any policy violations.</w:t>
      </w:r>
    </w:p>
    <w:p w14:paraId="526ACB7F" w14:textId="24AD6428" w:rsidR="0059649C" w:rsidRDefault="0059649C" w:rsidP="0059649C">
      <w:pPr>
        <w:spacing w:before="240" w:after="360"/>
      </w:pPr>
      <w:r>
        <w:rPr>
          <w:b/>
          <w:bCs/>
        </w:rPr>
        <w:lastRenderedPageBreak/>
        <w:t xml:space="preserve">Issuance of Notice and Report:  </w:t>
      </w:r>
      <w:r w:rsidR="00A24B87">
        <w:t xml:space="preserve">Upon completion of an investigation, Title IX will </w:t>
      </w:r>
      <w:r w:rsidR="00AE3B1A">
        <w:t>provide</w:t>
      </w:r>
      <w:r w:rsidR="00A24B87">
        <w:t xml:space="preserve"> the complainant and the </w:t>
      </w:r>
      <w:r w:rsidR="00483196">
        <w:t>respondent with</w:t>
      </w:r>
      <w:r w:rsidR="00A24B87">
        <w:t xml:space="preserve"> written notice of the factual findings and preliminary determinations</w:t>
      </w:r>
      <w:r w:rsidR="00950CC9">
        <w:t xml:space="preserve">, and the Investigative Report.  The report may be redacted to protect privacy.  Title IX will provide the </w:t>
      </w:r>
      <w:r w:rsidR="00E718DA">
        <w:t>Office of Student Services</w:t>
      </w:r>
      <w:r w:rsidR="00950CC9">
        <w:t xml:space="preserve"> with the written notice and an unredacted copy of the Investigative Report.  If the findings of fact in Formal Investigation indication that DOE-Covered</w:t>
      </w:r>
      <w:r w:rsidR="00C612FD">
        <w:t xml:space="preserve"> Conduct occurred, then the Title IX Officer will notify the parties that the case will proceed as a DOE Grievance Process.</w:t>
      </w:r>
    </w:p>
    <w:p w14:paraId="7328C2D3" w14:textId="5518DAC0" w:rsidR="00C612FD" w:rsidRDefault="00876D6E" w:rsidP="0059649C">
      <w:pPr>
        <w:spacing w:before="240" w:after="360"/>
        <w:rPr>
          <w:color w:val="0072C6" w:themeColor="accent1"/>
        </w:rPr>
      </w:pPr>
      <w:r>
        <w:rPr>
          <w:color w:val="0072C6" w:themeColor="accent1"/>
        </w:rPr>
        <w:t>Other Inquiry</w:t>
      </w:r>
    </w:p>
    <w:p w14:paraId="77039782" w14:textId="421FABAD" w:rsidR="00876D6E" w:rsidRDefault="00876D6E" w:rsidP="0059649C">
      <w:pPr>
        <w:spacing w:before="240" w:after="360"/>
      </w:pPr>
      <w:r>
        <w:t>When a report is not closed after initial assessment yet is not appropriate for Alternative Resolution</w:t>
      </w:r>
      <w:r w:rsidR="003C2009">
        <w:t>, a Formal Investigation,</w:t>
      </w:r>
      <w:r w:rsidR="003449C5">
        <w:t xml:space="preserve"> or a DOE Grievance Process because there is no individual identifiable respondent over whom Title IX has jurisdiction, Title IX will conduct an inquiry to try to determine what occurred and take prompt steps reasonably calculated to stop any substantia</w:t>
      </w:r>
      <w:r w:rsidR="0063690A">
        <w:t>ted conduct, prevent is recurrence, and, as appropriate, remedy its effects.</w:t>
      </w:r>
    </w:p>
    <w:p w14:paraId="192AF4B8" w14:textId="03B04A88" w:rsidR="0063690A" w:rsidRDefault="0063690A" w:rsidP="0059649C">
      <w:pPr>
        <w:spacing w:before="240" w:after="360"/>
      </w:pPr>
      <w:r>
        <w:t>The extent of the inquiry and responsive steps will depend on the specific circumstan</w:t>
      </w:r>
      <w:r w:rsidR="004D185D">
        <w:t>ces.  This includes, for example:</w:t>
      </w:r>
    </w:p>
    <w:p w14:paraId="221183F2" w14:textId="27B7F785" w:rsidR="004D185D" w:rsidRDefault="004D185D" w:rsidP="006A64BD">
      <w:pPr>
        <w:pStyle w:val="ListParagraph"/>
        <w:numPr>
          <w:ilvl w:val="0"/>
          <w:numId w:val="46"/>
        </w:numPr>
        <w:spacing w:before="240" w:after="360"/>
      </w:pPr>
      <w:r>
        <w:t>The nature and location of the alleged conduct,</w:t>
      </w:r>
    </w:p>
    <w:p w14:paraId="1AB44705" w14:textId="2138D8A4" w:rsidR="004D185D" w:rsidRDefault="00D8764B" w:rsidP="006A64BD">
      <w:pPr>
        <w:pStyle w:val="ListParagraph"/>
        <w:numPr>
          <w:ilvl w:val="0"/>
          <w:numId w:val="46"/>
        </w:numPr>
        <w:spacing w:before="240" w:after="360"/>
      </w:pPr>
      <w:r>
        <w:t>NHSC’s relationship to the complainant, and</w:t>
      </w:r>
    </w:p>
    <w:p w14:paraId="358AEA44" w14:textId="271A7826" w:rsidR="00D8764B" w:rsidRDefault="00D8764B" w:rsidP="006A64BD">
      <w:pPr>
        <w:pStyle w:val="ListParagraph"/>
        <w:numPr>
          <w:ilvl w:val="0"/>
          <w:numId w:val="46"/>
        </w:numPr>
        <w:spacing w:before="240" w:after="360"/>
      </w:pPr>
      <w:r>
        <w:t>NHSC’s relationship to and level of control over the organization or person alleged to have engaged</w:t>
      </w:r>
      <w:r w:rsidR="00374094">
        <w:t xml:space="preserve"> in the conduct.</w:t>
      </w:r>
    </w:p>
    <w:p w14:paraId="7637F5E1" w14:textId="22983F2E" w:rsidR="00374094" w:rsidRDefault="00374094" w:rsidP="00374094">
      <w:pPr>
        <w:spacing w:before="240" w:after="360"/>
      </w:pPr>
      <w:r>
        <w:t>The Title IX Officer will complete the inquiry</w:t>
      </w:r>
      <w:r w:rsidR="003C1402">
        <w:t xml:space="preserve"> promptly (typically within 60 days, unless extended for good cause), and notify the complainant of the outcome.</w:t>
      </w:r>
    </w:p>
    <w:p w14:paraId="6FE4D786" w14:textId="67DC0931" w:rsidR="003C1402" w:rsidRPr="00C92470" w:rsidRDefault="003C1402" w:rsidP="0054196C">
      <w:pPr>
        <w:pStyle w:val="Heading2"/>
        <w:rPr>
          <w:rFonts w:asciiTheme="minorHAnsi" w:hAnsiTheme="minorHAnsi" w:cstheme="minorHAnsi"/>
          <w:sz w:val="24"/>
          <w:szCs w:val="24"/>
        </w:rPr>
      </w:pPr>
      <w:bookmarkStart w:id="52" w:name="_Toc209014404"/>
      <w:r w:rsidRPr="00C92470">
        <w:rPr>
          <w:rFonts w:asciiTheme="minorHAnsi" w:hAnsiTheme="minorHAnsi" w:cstheme="minorHAnsi"/>
          <w:sz w:val="24"/>
          <w:szCs w:val="24"/>
        </w:rPr>
        <w:t>10.9</w:t>
      </w:r>
      <w:r w:rsidRPr="00C92470">
        <w:rPr>
          <w:rFonts w:asciiTheme="minorHAnsi" w:hAnsiTheme="minorHAnsi" w:cstheme="minorHAnsi"/>
          <w:sz w:val="24"/>
          <w:szCs w:val="24"/>
        </w:rPr>
        <w:tab/>
      </w:r>
      <w:r w:rsidR="00EE5F5D" w:rsidRPr="00C92470">
        <w:rPr>
          <w:rFonts w:asciiTheme="minorHAnsi" w:hAnsiTheme="minorHAnsi" w:cstheme="minorHAnsi"/>
          <w:sz w:val="24"/>
          <w:szCs w:val="24"/>
        </w:rPr>
        <w:t>ADJUDICATION AND SAN</w:t>
      </w:r>
      <w:r w:rsidR="00314601" w:rsidRPr="00C92470">
        <w:rPr>
          <w:rFonts w:asciiTheme="minorHAnsi" w:hAnsiTheme="minorHAnsi" w:cstheme="minorHAnsi"/>
          <w:sz w:val="24"/>
          <w:szCs w:val="24"/>
        </w:rPr>
        <w:t>C</w:t>
      </w:r>
      <w:r w:rsidR="00EE5F5D" w:rsidRPr="00C92470">
        <w:rPr>
          <w:rFonts w:asciiTheme="minorHAnsi" w:hAnsiTheme="minorHAnsi" w:cstheme="minorHAnsi"/>
          <w:sz w:val="24"/>
          <w:szCs w:val="24"/>
        </w:rPr>
        <w:t>TIONING – STUDENT RESPONDENTS</w:t>
      </w:r>
      <w:bookmarkEnd w:id="52"/>
    </w:p>
    <w:p w14:paraId="20E709F6" w14:textId="1172D4EB" w:rsidR="00EE5F5D" w:rsidRDefault="00EE5F5D" w:rsidP="00374094">
      <w:pPr>
        <w:spacing w:before="240" w:after="360"/>
      </w:pPr>
      <w:r>
        <w:t>The following is an outline of NHSC’s adjudication process and sanctioning for student respondents.</w:t>
      </w:r>
    </w:p>
    <w:p w14:paraId="3EB0047C" w14:textId="74552585" w:rsidR="00EE5F5D" w:rsidRDefault="00EE5F5D" w:rsidP="00374094">
      <w:pPr>
        <w:spacing w:before="240" w:after="360"/>
        <w:rPr>
          <w:b/>
          <w:bCs/>
        </w:rPr>
      </w:pPr>
      <w:r>
        <w:rPr>
          <w:b/>
          <w:bCs/>
        </w:rPr>
        <w:lastRenderedPageBreak/>
        <w:t>Proposed Sanction</w:t>
      </w:r>
    </w:p>
    <w:p w14:paraId="255D1CAC" w14:textId="42639A76" w:rsidR="00EE5F5D" w:rsidRDefault="00EE5F5D" w:rsidP="00374094">
      <w:pPr>
        <w:spacing w:before="240" w:after="360"/>
      </w:pPr>
      <w:r>
        <w:t>In cases where the investigator prelimin</w:t>
      </w:r>
      <w:r w:rsidR="00B96EB2">
        <w:t xml:space="preserve">arily determines a policy violation occurred, either party may schedule a meeting with or submit a written statement to the </w:t>
      </w:r>
      <w:r w:rsidR="00E718DA">
        <w:t>Office of Student Services</w:t>
      </w:r>
      <w:r w:rsidR="00B96EB2">
        <w:t xml:space="preserve"> to provide input on sanctions.  The </w:t>
      </w:r>
      <w:r w:rsidR="00E718DA">
        <w:t>Office of Student Services</w:t>
      </w:r>
      <w:r w:rsidR="00B96EB2">
        <w:t xml:space="preserve"> will review the report, the evidence deemed relevant by the investigator as documented in the report, the preliminary determinations, the respondent’s prior conduct record, any comment on sanctions from the parties (received either in person or in writing), and any other relevant information, and will determine a proposed sanction.</w:t>
      </w:r>
    </w:p>
    <w:p w14:paraId="79AC3B16" w14:textId="0DBCAF87" w:rsidR="00B96EB2" w:rsidRDefault="0038220C" w:rsidP="00374094">
      <w:pPr>
        <w:spacing w:before="240" w:after="360"/>
      </w:pPr>
      <w:r>
        <w:t xml:space="preserve">The </w:t>
      </w:r>
      <w:r w:rsidR="00E718DA">
        <w:t>Office of Student Services</w:t>
      </w:r>
      <w:r>
        <w:t xml:space="preserve"> will propose a sanction in all cases where there is a preliminary determination that the policy was violated.  The </w:t>
      </w:r>
      <w:r w:rsidR="00E718DA">
        <w:t>Office of Student Services</w:t>
      </w:r>
      <w:r>
        <w:t xml:space="preserve"> will notify the parties of the proposed sanction and supporting rationale within 15 business</w:t>
      </w:r>
      <w:r w:rsidR="008C7C43">
        <w:t xml:space="preserve"> days of the notice of investigative findings and preliminary determination.</w:t>
      </w:r>
    </w:p>
    <w:p w14:paraId="55CED803" w14:textId="0056868C" w:rsidR="008C7C43" w:rsidRDefault="008C7C43" w:rsidP="00374094">
      <w:pPr>
        <w:spacing w:before="240" w:after="360"/>
        <w:rPr>
          <w:b/>
          <w:bCs/>
        </w:rPr>
      </w:pPr>
      <w:r>
        <w:rPr>
          <w:b/>
          <w:bCs/>
        </w:rPr>
        <w:t>Opportunity to Contest/Accept the Preliminary Determination</w:t>
      </w:r>
    </w:p>
    <w:p w14:paraId="1748E6EC" w14:textId="7A37804A" w:rsidR="008C7C43" w:rsidRDefault="008C7C43" w:rsidP="00374094">
      <w:pPr>
        <w:spacing w:before="240" w:after="360"/>
      </w:pPr>
      <w:r>
        <w:t>Depending on whether a Formal Investigation or DOE Grievance Process was conducted</w:t>
      </w:r>
      <w:r w:rsidR="00C3234D">
        <w:t>, the parties will have an opportunity to contest or accept the investigator’s preliminary determinations as to whether or not the policy was violated.  Parties may contest/accept the preliminary determin</w:t>
      </w:r>
      <w:r w:rsidR="009E5C42">
        <w:t>ation within 20 business days of the notice of investigative findings and preliminary</w:t>
      </w:r>
      <w:r w:rsidR="004545E3">
        <w:t xml:space="preserve"> determination.</w:t>
      </w:r>
    </w:p>
    <w:p w14:paraId="73E988C6" w14:textId="583C81E1" w:rsidR="004545E3" w:rsidRDefault="004545E3" w:rsidP="00374094">
      <w:pPr>
        <w:spacing w:before="240" w:after="360"/>
      </w:pPr>
      <w:r>
        <w:t xml:space="preserve">Depending on whether the parties contest/accept the preliminary determination, the </w:t>
      </w:r>
      <w:r w:rsidR="00E718DA">
        <w:t>Office of Student Services</w:t>
      </w:r>
      <w:r>
        <w:t xml:space="preserve"> will determine whether the matter will proceed to a hearing.</w:t>
      </w:r>
    </w:p>
    <w:p w14:paraId="24D06D6D" w14:textId="3B4216E8" w:rsidR="0010551A" w:rsidRDefault="0010551A" w:rsidP="00374094">
      <w:pPr>
        <w:spacing w:before="240" w:after="360"/>
        <w:rPr>
          <w:b/>
          <w:bCs/>
        </w:rPr>
      </w:pPr>
      <w:r>
        <w:rPr>
          <w:b/>
          <w:bCs/>
        </w:rPr>
        <w:t>Hearing to Determine Policy Violation(s)</w:t>
      </w:r>
    </w:p>
    <w:p w14:paraId="44F96534" w14:textId="69BF3B6F" w:rsidR="0010551A" w:rsidRDefault="0010551A" w:rsidP="00374094">
      <w:pPr>
        <w:spacing w:before="240" w:after="360"/>
      </w:pPr>
      <w:r>
        <w:t>For cases that proceed to a hearing, NHSC will conduct a fac</w:t>
      </w:r>
      <w:r w:rsidR="00CA3B15">
        <w:t>t-finding hearing before a single hearing officer (not the Title IX Officer).  The hearing is to determine whether a violation</w:t>
      </w:r>
      <w:r w:rsidR="008F4B98">
        <w:t xml:space="preserve"> of the </w:t>
      </w:r>
      <w:r w:rsidR="008F4B98">
        <w:rPr>
          <w:i/>
          <w:iCs/>
        </w:rPr>
        <w:t xml:space="preserve">NHSC SVSH Policy </w:t>
      </w:r>
      <w:r w:rsidR="008F4B98">
        <w:t>(and any non-</w:t>
      </w:r>
      <w:r w:rsidR="008F4B98">
        <w:rPr>
          <w:i/>
          <w:iCs/>
        </w:rPr>
        <w:t>SVSH Policy</w:t>
      </w:r>
      <w:r w:rsidR="008F4B98">
        <w:t xml:space="preserve"> violations charged in conjunction with them) </w:t>
      </w:r>
      <w:r w:rsidR="008F4B98">
        <w:lastRenderedPageBreak/>
        <w:t>occurred.  NHSC’s role in the hearing is neutral.  NHSC will consider the re</w:t>
      </w:r>
      <w:r w:rsidR="008F4759">
        <w:t>levant evidence available, including relevant evidence presented by the parties, in order to make factual findings and determine wheth</w:t>
      </w:r>
      <w:r w:rsidR="00B754C9">
        <w:t>er a policy violation occurred.</w:t>
      </w:r>
    </w:p>
    <w:p w14:paraId="6857F880" w14:textId="39CD0041" w:rsidR="00CD23CE" w:rsidRDefault="00CD23CE" w:rsidP="00374094">
      <w:pPr>
        <w:spacing w:before="240" w:after="360"/>
        <w:rPr>
          <w:color w:val="0072C6" w:themeColor="accent1"/>
        </w:rPr>
      </w:pPr>
      <w:r>
        <w:rPr>
          <w:color w:val="0072C6" w:themeColor="accent1"/>
        </w:rPr>
        <w:t>Hearing Procedures</w:t>
      </w:r>
    </w:p>
    <w:p w14:paraId="088F8C37" w14:textId="3A9C4416" w:rsidR="00CD23CE" w:rsidRDefault="00CD23CE" w:rsidP="00374094">
      <w:pPr>
        <w:spacing w:before="240" w:after="360"/>
      </w:pPr>
      <w:r>
        <w:t xml:space="preserve">The hearing will be conducted in a respectful manner that promotes fairness and accurate fact-finding, and that complies with the applicable rules of conduct.  The parties and witnesses will address only the hearing officer, and not each other.  Only the hearing officer (and in a DOE Grievance Process, the advisor or Reader) may question witnesses and parties.  Courtroom rules of evidence and procedure will not apply.  The hearing officer will generally consider (rely on) all evidence they determine to be relevant and reliable.  The hearing officer will decide whether a violation of the </w:t>
      </w:r>
      <w:r>
        <w:rPr>
          <w:i/>
          <w:iCs/>
        </w:rPr>
        <w:t xml:space="preserve">NHSC SVSH Policy </w:t>
      </w:r>
      <w:r>
        <w:t>(or related non-</w:t>
      </w:r>
      <w:r>
        <w:rPr>
          <w:i/>
          <w:iCs/>
        </w:rPr>
        <w:t>SVSH Policy</w:t>
      </w:r>
      <w:r>
        <w:t xml:space="preserve"> violation) occurred</w:t>
      </w:r>
      <w:r w:rsidR="00A161E5">
        <w:t xml:space="preserve"> based on a preponderance of the evidence standard.</w:t>
      </w:r>
    </w:p>
    <w:p w14:paraId="17ECC5E7" w14:textId="2A770680" w:rsidR="00A161E5" w:rsidRDefault="00A161E5" w:rsidP="00374094">
      <w:pPr>
        <w:spacing w:before="240" w:after="360"/>
        <w:rPr>
          <w:color w:val="0072C6" w:themeColor="accent1"/>
        </w:rPr>
      </w:pPr>
      <w:r>
        <w:rPr>
          <w:color w:val="0072C6" w:themeColor="accent1"/>
        </w:rPr>
        <w:t>Sanction and Notice of Determination</w:t>
      </w:r>
    </w:p>
    <w:p w14:paraId="33411E70" w14:textId="55AF8CC4" w:rsidR="00A161E5" w:rsidRDefault="00A161E5" w:rsidP="00374094">
      <w:pPr>
        <w:spacing w:before="240" w:after="360"/>
      </w:pPr>
      <w:r>
        <w:t xml:space="preserve">If the hearing officer decides that any policy violation has occurred, they will send their determination and findings to the </w:t>
      </w:r>
      <w:r w:rsidR="00E718DA">
        <w:t>Office of Student Services</w:t>
      </w:r>
      <w:r>
        <w:t xml:space="preserve"> within 10 business days of the hearing.  Based on the hearing officer’s findings and determination, and other information relevant to sanctioning, the </w:t>
      </w:r>
      <w:r w:rsidR="00E718DA">
        <w:t>Office of Student Services</w:t>
      </w:r>
      <w:r>
        <w:t xml:space="preserve"> will determine an appropriate sanction.  Within 15 business days of the hearing, the hearing coordinator will send simultaneous written notice to the complainant and respondent setting forth the hearing officer’s determination on whether the </w:t>
      </w:r>
      <w:r w:rsidR="00742736">
        <w:rPr>
          <w:i/>
          <w:iCs/>
        </w:rPr>
        <w:t>NHSC SVSH Policy</w:t>
      </w:r>
      <w:r w:rsidR="00742736">
        <w:t xml:space="preserve"> (and/or other student conduct policies) have been violated, and if so, the </w:t>
      </w:r>
      <w:r w:rsidR="00E718DA">
        <w:t xml:space="preserve">Office of Student </w:t>
      </w:r>
      <w:r w:rsidR="00083C3F">
        <w:t>Services’</w:t>
      </w:r>
      <w:r w:rsidR="00742736">
        <w:t xml:space="preserve"> determination of any sanctions to be imposed.</w:t>
      </w:r>
    </w:p>
    <w:p w14:paraId="29C677D5" w14:textId="7AC23EF9" w:rsidR="00742736" w:rsidRDefault="00742736" w:rsidP="00374094">
      <w:pPr>
        <w:spacing w:before="240" w:after="360"/>
        <w:rPr>
          <w:b/>
          <w:bCs/>
        </w:rPr>
      </w:pPr>
      <w:r>
        <w:rPr>
          <w:b/>
          <w:bCs/>
        </w:rPr>
        <w:t>Appeal Process</w:t>
      </w:r>
    </w:p>
    <w:p w14:paraId="08F6D4B7" w14:textId="2DFCB12B" w:rsidR="00742736" w:rsidRDefault="00742736" w:rsidP="00374094">
      <w:pPr>
        <w:spacing w:before="240" w:after="360"/>
      </w:pPr>
      <w:r>
        <w:t xml:space="preserve">The complainant and respondent have an equal opportunity to </w:t>
      </w:r>
      <w:r w:rsidR="00AE3B1A">
        <w:t>appeal against</w:t>
      </w:r>
      <w:r>
        <w:t xml:space="preserve"> the policy violation determination(s) and any sanction(s).  NHSC administers the appeal process but is not a party and does not advocate for or against any appeal.</w:t>
      </w:r>
    </w:p>
    <w:p w14:paraId="016C0139" w14:textId="13DC751E" w:rsidR="00742736" w:rsidRDefault="00742736" w:rsidP="00374094">
      <w:pPr>
        <w:spacing w:before="240" w:after="360"/>
      </w:pPr>
      <w:r>
        <w:lastRenderedPageBreak/>
        <w:t>Within 10 business days of receiving the appeal, the appeal officer will send their written decision to the complainant and respondent.  Unless the hearing officer remands the matter to the hearing officer, the matter is closed at this point, with no further right to appeal.  If the appeal officer remands the matter to the hearing officer, they will issue their decision within 10 business days of receiving the hearing officer’s additional factual findings; this decision will be final.</w:t>
      </w:r>
    </w:p>
    <w:p w14:paraId="0B85A9DD" w14:textId="08517CD8" w:rsidR="00742736" w:rsidRDefault="00742736" w:rsidP="00374094">
      <w:pPr>
        <w:spacing w:before="240" w:after="360"/>
        <w:rPr>
          <w:b/>
          <w:bCs/>
        </w:rPr>
      </w:pPr>
      <w:r>
        <w:rPr>
          <w:b/>
          <w:bCs/>
        </w:rPr>
        <w:t>Student Sanctions</w:t>
      </w:r>
    </w:p>
    <w:p w14:paraId="392F1E52" w14:textId="0E17E2BB" w:rsidR="00933F13" w:rsidRDefault="00933F13" w:rsidP="00374094">
      <w:pPr>
        <w:spacing w:before="240" w:after="360"/>
      </w:pPr>
      <w:r>
        <w:t>The following describes NHSC’s principles, factors to consider in assigning sanctions, sanctioning options, and minimum sanctions for certain conduct when the respondent is a student.</w:t>
      </w:r>
    </w:p>
    <w:p w14:paraId="4561CADE" w14:textId="2D544C6E" w:rsidR="00933F13" w:rsidRDefault="00933F13" w:rsidP="00374094">
      <w:pPr>
        <w:spacing w:before="240" w:after="360"/>
        <w:rPr>
          <w:color w:val="0072C6" w:themeColor="accent1"/>
        </w:rPr>
      </w:pPr>
      <w:r>
        <w:rPr>
          <w:color w:val="0072C6" w:themeColor="accent1"/>
        </w:rPr>
        <w:t>Principles</w:t>
      </w:r>
    </w:p>
    <w:p w14:paraId="1604DB66" w14:textId="54489FA2" w:rsidR="00933F13" w:rsidRDefault="00933F13" w:rsidP="00374094">
      <w:pPr>
        <w:spacing w:before="240" w:after="360"/>
        <w:rPr>
          <w:color w:val="DC3C00" w:themeColor="accent3"/>
        </w:rPr>
      </w:pPr>
      <w:r>
        <w:t xml:space="preserve">The administration of student discipline will be consistent with the </w:t>
      </w:r>
      <w:r w:rsidRPr="00AF4663">
        <w:rPr>
          <w:color w:val="auto"/>
        </w:rPr>
        <w:t>Student Conduct Code.</w:t>
      </w:r>
    </w:p>
    <w:p w14:paraId="0120ECD6" w14:textId="5B17F9D1" w:rsidR="00933F13" w:rsidRPr="00933F13" w:rsidRDefault="00933F13" w:rsidP="006A64BD">
      <w:pPr>
        <w:pStyle w:val="ListParagraph"/>
        <w:numPr>
          <w:ilvl w:val="0"/>
          <w:numId w:val="47"/>
        </w:numPr>
        <w:spacing w:before="240" w:after="360"/>
      </w:pPr>
      <w:r>
        <w:t xml:space="preserve">When a student is found responsible for violating the </w:t>
      </w:r>
      <w:r>
        <w:rPr>
          <w:i/>
          <w:iCs/>
        </w:rPr>
        <w:t>NHSC SVSH Policy</w:t>
      </w:r>
      <w:r>
        <w:t xml:space="preserve"> or other student conduct policies, NHSC will assign sanctions that are proportionate and appropriate to the violation, taking into consideration the context and seriousness of the violation.  NHSC is also committed to providing appropriate remedial measures to the complainant, as described in the </w:t>
      </w:r>
      <w:r>
        <w:rPr>
          <w:i/>
          <w:iCs/>
        </w:rPr>
        <w:t>NHSC SVSH Policy.</w:t>
      </w:r>
    </w:p>
    <w:p w14:paraId="41D7A676" w14:textId="70C9E5EB" w:rsidR="00933F13" w:rsidRDefault="00933F13" w:rsidP="006A64BD">
      <w:pPr>
        <w:pStyle w:val="ListParagraph"/>
        <w:numPr>
          <w:ilvl w:val="0"/>
          <w:numId w:val="47"/>
        </w:numPr>
        <w:spacing w:before="240" w:after="360"/>
      </w:pPr>
      <w:r>
        <w:t>Whe</w:t>
      </w:r>
      <w:r w:rsidR="00610238">
        <w:t>n</w:t>
      </w:r>
      <w:r>
        <w:t xml:space="preserve"> a student is found not responsible for violating the </w:t>
      </w:r>
      <w:r>
        <w:rPr>
          <w:i/>
          <w:iCs/>
        </w:rPr>
        <w:t>NHSC SVSH Policy</w:t>
      </w:r>
      <w:r w:rsidR="00610238">
        <w:t xml:space="preserve"> and other student conduct policies, NHSC is committed to taking reasonable efforts to assist any student who has been disadvantaged with respect to employment or academic status as a result of the unsubstantiated allegations.</w:t>
      </w:r>
    </w:p>
    <w:p w14:paraId="0C8656AB" w14:textId="02632BC5" w:rsidR="00610238" w:rsidRDefault="00610238" w:rsidP="006A64BD">
      <w:pPr>
        <w:pStyle w:val="ListParagraph"/>
        <w:numPr>
          <w:ilvl w:val="0"/>
          <w:numId w:val="47"/>
        </w:numPr>
        <w:spacing w:before="240" w:after="360"/>
      </w:pPr>
      <w:r>
        <w:t xml:space="preserve">Sanctions are designed to hold a student accountable for violating NHSC standards of conduct and to promote personal growth and development.  Sanctions also serve the purpose of stopping the Prohibited Conduct under the </w:t>
      </w:r>
      <w:r>
        <w:rPr>
          <w:i/>
          <w:iCs/>
        </w:rPr>
        <w:t>NHSC SVSH Policy</w:t>
      </w:r>
      <w:r>
        <w:t xml:space="preserve"> and preventing its recurrence.</w:t>
      </w:r>
    </w:p>
    <w:p w14:paraId="3192D499" w14:textId="4DB96619" w:rsidR="00610238" w:rsidRDefault="00610238" w:rsidP="006A64BD">
      <w:pPr>
        <w:pStyle w:val="ListParagraph"/>
        <w:numPr>
          <w:ilvl w:val="0"/>
          <w:numId w:val="47"/>
        </w:numPr>
        <w:spacing w:before="240" w:after="360"/>
      </w:pPr>
      <w:r>
        <w:lastRenderedPageBreak/>
        <w:t>NHSC recognizes that acts of Sexual Violence, Sexual Harassment, and other forms of Prohibited Conduct are contrary to the goals of providing an educational environment that is safe and equal for all students.</w:t>
      </w:r>
    </w:p>
    <w:p w14:paraId="5C8EBEE6" w14:textId="6815B5BC" w:rsidR="00610238" w:rsidRDefault="00610238" w:rsidP="00610238">
      <w:pPr>
        <w:spacing w:before="240" w:after="360"/>
        <w:rPr>
          <w:color w:val="0072C6" w:themeColor="accent1"/>
        </w:rPr>
      </w:pPr>
      <w:r>
        <w:rPr>
          <w:color w:val="0072C6" w:themeColor="accent1"/>
        </w:rPr>
        <w:t>Factors Considered in Determining Sanctions</w:t>
      </w:r>
    </w:p>
    <w:p w14:paraId="23E9D4ED" w14:textId="235D4BC8" w:rsidR="00610238" w:rsidRDefault="00D138FD" w:rsidP="00610238">
      <w:pPr>
        <w:spacing w:before="240" w:after="360"/>
      </w:pPr>
      <w:r>
        <w:t>In all cases, when determining the appropriate and proportionate sanction, the following factors will be considered when applicable</w:t>
      </w:r>
      <w:r w:rsidR="00600088">
        <w:t>:</w:t>
      </w:r>
    </w:p>
    <w:p w14:paraId="0E18090F" w14:textId="0C9F29A4" w:rsidR="00D138FD" w:rsidRDefault="00D138FD" w:rsidP="006A64BD">
      <w:pPr>
        <w:pStyle w:val="ListParagraph"/>
        <w:numPr>
          <w:ilvl w:val="0"/>
          <w:numId w:val="48"/>
        </w:numPr>
        <w:spacing w:before="240" w:after="360"/>
      </w:pPr>
      <w:r>
        <w:rPr>
          <w:b/>
          <w:bCs/>
        </w:rPr>
        <w:t xml:space="preserve">Seriousness of violation: </w:t>
      </w:r>
      <w:r>
        <w:t>Location and extent of touching; duration of conduct; single or repeated acts; multiple policy violations in connection with the incident; verbal or physical intimidation; use of authority to abuse trust or confidence; presence of weapons; use of force or violence; physical injury; menace; duress; deliberately causing or taking advantage of a person’s incapacitation; and recording, photographing, transmitting, viewing, or distributing intimate or sexual images without consent.</w:t>
      </w:r>
    </w:p>
    <w:p w14:paraId="50588E63" w14:textId="510D3EC9" w:rsidR="00D138FD" w:rsidRPr="005535E1" w:rsidRDefault="00D138FD" w:rsidP="006A64BD">
      <w:pPr>
        <w:pStyle w:val="ListParagraph"/>
        <w:numPr>
          <w:ilvl w:val="0"/>
          <w:numId w:val="48"/>
        </w:numPr>
        <w:spacing w:before="240" w:after="360"/>
      </w:pPr>
      <w:r>
        <w:rPr>
          <w:b/>
          <w:bCs/>
        </w:rPr>
        <w:t>Intent or motivation behind violation:</w:t>
      </w:r>
      <w:r>
        <w:t xml:space="preserve"> No intent to cause harm; passive role in violation; pressured or inducted by others to participate in violation; planned or predatory conduct</w:t>
      </w:r>
      <w:r w:rsidR="005535E1">
        <w:t xml:space="preserve">; hate or bias based on the complainant’s membership or perceived membership in a protected group as defined in </w:t>
      </w:r>
      <w:r w:rsidR="005535E1">
        <w:rPr>
          <w:i/>
          <w:iCs/>
        </w:rPr>
        <w:t>NHSC SVSH Policy.</w:t>
      </w:r>
    </w:p>
    <w:p w14:paraId="1D07B600" w14:textId="0541FC84" w:rsidR="005535E1" w:rsidRPr="005535E1" w:rsidRDefault="005535E1" w:rsidP="006A64BD">
      <w:pPr>
        <w:pStyle w:val="ListParagraph"/>
        <w:numPr>
          <w:ilvl w:val="0"/>
          <w:numId w:val="48"/>
        </w:numPr>
        <w:spacing w:before="240" w:after="360"/>
      </w:pPr>
      <w:r>
        <w:rPr>
          <w:b/>
          <w:bCs/>
        </w:rPr>
        <w:t xml:space="preserve">Whether the conduct was aggravated, </w:t>
      </w:r>
      <w:r>
        <w:t xml:space="preserve">as defined in the </w:t>
      </w:r>
      <w:r>
        <w:rPr>
          <w:i/>
          <w:iCs/>
        </w:rPr>
        <w:t>NHSC SVSH Policy.</w:t>
      </w:r>
    </w:p>
    <w:p w14:paraId="4F810854" w14:textId="3DE13B09" w:rsidR="005535E1" w:rsidRDefault="005535E1" w:rsidP="006A64BD">
      <w:pPr>
        <w:pStyle w:val="ListParagraph"/>
        <w:numPr>
          <w:ilvl w:val="0"/>
          <w:numId w:val="48"/>
        </w:numPr>
        <w:spacing w:before="240" w:after="360"/>
      </w:pPr>
      <w:r>
        <w:rPr>
          <w:b/>
          <w:bCs/>
        </w:rPr>
        <w:t xml:space="preserve">Response following violation: </w:t>
      </w:r>
      <w:r>
        <w:t xml:space="preserve">Voluntarily acknowledged </w:t>
      </w:r>
      <w:r w:rsidR="00E16AFC">
        <w:t>wrongdoing</w:t>
      </w:r>
      <w:r>
        <w:t xml:space="preserve"> at early state of the process; failure to follow No-Contact Order; attempt in influence witnesses; obstructed or disrupted the process.</w:t>
      </w:r>
    </w:p>
    <w:p w14:paraId="2E9479E2" w14:textId="77E55784" w:rsidR="005535E1" w:rsidRDefault="005535E1" w:rsidP="006A64BD">
      <w:pPr>
        <w:pStyle w:val="ListParagraph"/>
        <w:numPr>
          <w:ilvl w:val="0"/>
          <w:numId w:val="48"/>
        </w:numPr>
        <w:spacing w:before="240" w:after="360"/>
      </w:pPr>
      <w:r>
        <w:rPr>
          <w:b/>
          <w:bCs/>
        </w:rPr>
        <w:t>Disciplinary history:</w:t>
      </w:r>
      <w:r>
        <w:t xml:space="preserve"> Unrelated prior violations; related prior violations.  A respondent’s disciplinary history is cumulative.  Past violations and sanctions will be considered and my increase any sanctions assigned.</w:t>
      </w:r>
    </w:p>
    <w:p w14:paraId="6F3D31D0" w14:textId="3C7073E9" w:rsidR="00E16AFC" w:rsidRPr="00AF4663" w:rsidRDefault="005535E1" w:rsidP="006A64BD">
      <w:pPr>
        <w:pStyle w:val="ListParagraph"/>
        <w:numPr>
          <w:ilvl w:val="0"/>
          <w:numId w:val="48"/>
        </w:numPr>
        <w:spacing w:before="240" w:after="360"/>
      </w:pPr>
      <w:r>
        <w:rPr>
          <w:b/>
          <w:bCs/>
        </w:rPr>
        <w:t>Impact on others:</w:t>
      </w:r>
      <w:r>
        <w:t xml:space="preserve"> Input from the complainant; protection or safety of the complainant or the community.</w:t>
      </w:r>
    </w:p>
    <w:p w14:paraId="74F63AFD" w14:textId="77777777" w:rsidR="0093447A" w:rsidRDefault="0093447A" w:rsidP="005535E1">
      <w:pPr>
        <w:spacing w:before="240" w:after="360"/>
        <w:rPr>
          <w:color w:val="0072C6" w:themeColor="accent1"/>
        </w:rPr>
      </w:pPr>
    </w:p>
    <w:p w14:paraId="5A3F79A6" w14:textId="3BF65A62" w:rsidR="005535E1" w:rsidRDefault="007E521B" w:rsidP="005535E1">
      <w:pPr>
        <w:spacing w:before="240" w:after="360"/>
        <w:rPr>
          <w:color w:val="0072C6" w:themeColor="accent1"/>
        </w:rPr>
      </w:pPr>
      <w:r>
        <w:rPr>
          <w:color w:val="0072C6" w:themeColor="accent1"/>
        </w:rPr>
        <w:lastRenderedPageBreak/>
        <w:t>Sanctions Options</w:t>
      </w:r>
    </w:p>
    <w:p w14:paraId="14CE5179" w14:textId="6886B1D2" w:rsidR="007E521B" w:rsidRDefault="007E521B" w:rsidP="005535E1">
      <w:pPr>
        <w:spacing w:before="240" w:after="360"/>
      </w:pPr>
      <w:r>
        <w:t>NHSC sanctions for students are:</w:t>
      </w:r>
    </w:p>
    <w:p w14:paraId="1260BD07" w14:textId="5A646153" w:rsidR="007E521B" w:rsidRDefault="007E521B" w:rsidP="006A64BD">
      <w:pPr>
        <w:pStyle w:val="ListParagraph"/>
        <w:numPr>
          <w:ilvl w:val="0"/>
          <w:numId w:val="49"/>
        </w:numPr>
        <w:spacing w:before="240" w:after="360"/>
      </w:pPr>
      <w:r>
        <w:rPr>
          <w:b/>
          <w:bCs/>
        </w:rPr>
        <w:t xml:space="preserve">Dismissal from NHSC:  </w:t>
      </w:r>
      <w:r>
        <w:t>Termination of student status for an indefinite period.  Readmission to NHSC shall require the specific approval of the President.  Readmission after dismissal may be granted only under exceptional circumstances.</w:t>
      </w:r>
    </w:p>
    <w:p w14:paraId="57F69A2C" w14:textId="4B0DF856" w:rsidR="007E521B" w:rsidRDefault="007E521B" w:rsidP="006A64BD">
      <w:pPr>
        <w:pStyle w:val="ListParagraph"/>
        <w:numPr>
          <w:ilvl w:val="0"/>
          <w:numId w:val="49"/>
        </w:numPr>
        <w:spacing w:before="240" w:after="360"/>
      </w:pPr>
      <w:r>
        <w:rPr>
          <w:b/>
          <w:bCs/>
        </w:rPr>
        <w:t>Suspension from NHSC:</w:t>
      </w:r>
      <w:r>
        <w:t xml:space="preserve">  Termination of student status for a specified period of time with reinstatement thereafter certain, provided that the student has complied with all conditions imposed as part of the suspension and provided that the student is otherwise qualified for reinstatement.  Violation of the conditions of Suspension or of NHSC policies or campus regulations during the period of Suspension may be cause for further disciplinary action, normally in the form of Dismissal.</w:t>
      </w:r>
    </w:p>
    <w:p w14:paraId="71FCC664" w14:textId="26E3AC56" w:rsidR="007E521B" w:rsidRDefault="007E521B" w:rsidP="006A64BD">
      <w:pPr>
        <w:pStyle w:val="ListParagraph"/>
        <w:numPr>
          <w:ilvl w:val="0"/>
          <w:numId w:val="49"/>
        </w:numPr>
        <w:spacing w:before="240" w:after="360"/>
      </w:pPr>
      <w:r>
        <w:rPr>
          <w:b/>
          <w:bCs/>
        </w:rPr>
        <w:t>Exclusion from Areas of the Campus and/or from Official NHSC Functions:</w:t>
      </w:r>
      <w:r>
        <w:t xml:space="preserve"> </w:t>
      </w:r>
      <w:r w:rsidR="002356E7">
        <w:t xml:space="preserve"> Exclusion of a student as part of a disciplinary sanction from specified areas of the campus or other NHSC-owned, -operated, or -leased facilities, or other facilities located on NHSC property, or from official NHSC functions, when there is reasonable cause for NHSC to believe that the student’s presence there will lead to physical abuse, threats of violence, or conduct that threatens the health or safety of any person on NHSC property or at official NHSC functions, or other disruptive activity incompatible with the orderly operation of the campus.</w:t>
      </w:r>
    </w:p>
    <w:p w14:paraId="07572A66" w14:textId="3032CFBA" w:rsidR="002356E7" w:rsidRDefault="002356E7" w:rsidP="006A64BD">
      <w:pPr>
        <w:pStyle w:val="ListParagraph"/>
        <w:numPr>
          <w:ilvl w:val="0"/>
          <w:numId w:val="49"/>
        </w:numPr>
        <w:spacing w:before="240" w:after="360"/>
      </w:pPr>
      <w:r>
        <w:rPr>
          <w:b/>
          <w:bCs/>
        </w:rPr>
        <w:t>Loss of Privileges and/or Exclusion from Activities:</w:t>
      </w:r>
      <w:r>
        <w:t xml:space="preserve"> Exclusion from participation in designated privileges and activities for a specified period of time.  Violation of</w:t>
      </w:r>
      <w:r w:rsidR="00D239E8">
        <w:t xml:space="preserve"> any conditions in the written Notice of Loss of Privileges and Exclusion from Activities, or violation of NHSC policies or campus regulations during the period of the sanction may be cause for further disciplinary action, normally in the form of Probation, Suspension, or Dismissal.</w:t>
      </w:r>
    </w:p>
    <w:p w14:paraId="5D0EC3AC" w14:textId="33C5CB97" w:rsidR="00D239E8" w:rsidRDefault="00D239E8" w:rsidP="006A64BD">
      <w:pPr>
        <w:pStyle w:val="ListParagraph"/>
        <w:numPr>
          <w:ilvl w:val="0"/>
          <w:numId w:val="49"/>
        </w:numPr>
        <w:spacing w:before="240" w:after="360"/>
      </w:pPr>
      <w:r>
        <w:rPr>
          <w:b/>
          <w:bCs/>
        </w:rPr>
        <w:t>Restitution:</w:t>
      </w:r>
      <w:r>
        <w:t xml:space="preserve">  A requirement for restitution in the form of reimbursement may be imposed for </w:t>
      </w:r>
      <w:r w:rsidR="0093447A">
        <w:t>expenses</w:t>
      </w:r>
      <w:r>
        <w:t xml:space="preserve"> incurred by NHSC or other parties resulting from a violation of these policies.  Such reimbursement may take </w:t>
      </w:r>
      <w:r w:rsidR="00AF3DDC">
        <w:t xml:space="preserve">the form of monetary payment or appropriate </w:t>
      </w:r>
      <w:r w:rsidR="00AF3DDC">
        <w:lastRenderedPageBreak/>
        <w:t>service to repair or otherwise compensate for damages.  Restitution may be imposed on any student who alone, through group or concerted activities, participates in causing the damages or costs.</w:t>
      </w:r>
    </w:p>
    <w:p w14:paraId="00843BE8" w14:textId="5E6626EB" w:rsidR="00AF3DDC" w:rsidRDefault="00AF3DDC" w:rsidP="006A64BD">
      <w:pPr>
        <w:pStyle w:val="ListParagraph"/>
        <w:numPr>
          <w:ilvl w:val="0"/>
          <w:numId w:val="49"/>
        </w:numPr>
        <w:spacing w:before="240" w:after="360"/>
      </w:pPr>
      <w:r>
        <w:rPr>
          <w:b/>
          <w:bCs/>
        </w:rPr>
        <w:t>Probation:</w:t>
      </w:r>
      <w:r>
        <w:t xml:space="preserve"> A status imposed for a specified period of time during which a student must demonstrate conduct that conforms to NHSC standards of </w:t>
      </w:r>
      <w:r w:rsidR="0093447A">
        <w:t>conduct</w:t>
      </w:r>
      <w:r>
        <w:t>.  Conditions restricting</w:t>
      </w:r>
      <w:r w:rsidR="00B57619">
        <w:t xml:space="preserve"> the student’s privileges or eligibility for activities may be imposed.  Misconduct during the probationary period or violation of any conditions of the probation may result in further disciplinary action, normally in the form of Suspension or Dismissal.</w:t>
      </w:r>
    </w:p>
    <w:p w14:paraId="57C5F119" w14:textId="2F709011" w:rsidR="00AF4663" w:rsidRDefault="00B57619" w:rsidP="0008778A">
      <w:pPr>
        <w:pStyle w:val="ListParagraph"/>
        <w:numPr>
          <w:ilvl w:val="0"/>
          <w:numId w:val="49"/>
        </w:numPr>
        <w:spacing w:before="240" w:after="360"/>
      </w:pPr>
      <w:r w:rsidRPr="00B57619">
        <w:rPr>
          <w:b/>
          <w:bCs/>
        </w:rPr>
        <w:t>Censure/Warning</w:t>
      </w:r>
      <w:r>
        <w:t>: Written notice or reprimand to the student that a violation of specified NHSC policies or campus regulation has occurred, and that continued or repeated violations of NHSC policies or campus regulations may be cause for further disciplinary action, normally in the form of Loss of Privileges and Exclusion from Activities, Disciplinary Probation, Suspension, or Dismissal.</w:t>
      </w:r>
    </w:p>
    <w:p w14:paraId="0ABAF256" w14:textId="136ACA72" w:rsidR="00B57619" w:rsidRDefault="00B57619" w:rsidP="00B57619">
      <w:pPr>
        <w:spacing w:before="240" w:after="360"/>
        <w:rPr>
          <w:b/>
          <w:bCs/>
        </w:rPr>
      </w:pPr>
      <w:r>
        <w:rPr>
          <w:b/>
          <w:bCs/>
        </w:rPr>
        <w:t xml:space="preserve">Other actions as set for in NHSC policy and campus </w:t>
      </w:r>
      <w:r w:rsidR="0093447A">
        <w:rPr>
          <w:b/>
          <w:bCs/>
        </w:rPr>
        <w:t>regulations.</w:t>
      </w:r>
    </w:p>
    <w:p w14:paraId="73E94A6B" w14:textId="43878A0D" w:rsidR="00B57619" w:rsidRDefault="00B57619" w:rsidP="00B57619">
      <w:pPr>
        <w:spacing w:before="240" w:after="360"/>
      </w:pPr>
      <w:r>
        <w:t xml:space="preserve">Note that for DOE Grievance Processes, sanctions may impose greater burdens on a respondent found responsible for </w:t>
      </w:r>
      <w:r>
        <w:rPr>
          <w:i/>
          <w:iCs/>
        </w:rPr>
        <w:t>NHSC SVSH Policy</w:t>
      </w:r>
      <w:r w:rsidR="00770A76">
        <w:t xml:space="preserve"> violations; this is in contract to supportive measure, which may not be disciplinary or punitive and may not unreasonably burden a party.</w:t>
      </w:r>
    </w:p>
    <w:p w14:paraId="13237CC2" w14:textId="3728C676" w:rsidR="0037181D" w:rsidRDefault="00770A76" w:rsidP="00B57619">
      <w:pPr>
        <w:spacing w:before="240" w:after="360"/>
      </w:pPr>
      <w:r>
        <w:t xml:space="preserve">When, as a result of violations of the </w:t>
      </w:r>
      <w:r>
        <w:rPr>
          <w:i/>
          <w:iCs/>
        </w:rPr>
        <w:t>NHSC SVSH Policy</w:t>
      </w:r>
      <w:r>
        <w:t xml:space="preserve"> and/or Student Conduct Code, a student is suspended or dismissal.  Thereafter, notations of Suspension or Dismissal reflected on a student’s transcript may be removed as set forth in campus regulations.  Discipline records are normally purged after five years (seven years if the violation was also a reportable Clery Act crime) from the sanctioning imposition date; however, the Director of the </w:t>
      </w:r>
      <w:r w:rsidR="00E718DA">
        <w:t>Office of Student Services</w:t>
      </w:r>
      <w:r>
        <w:t xml:space="preserve"> may decide to keep a file active for a longer period of time in cases of sexual assault, relationship violence, or stalking of a sexual nature, and must make a note of the rationale for keeping a file active beyond its expiration date.</w:t>
      </w:r>
    </w:p>
    <w:p w14:paraId="2D1B5975" w14:textId="77777777" w:rsidR="0093447A" w:rsidRDefault="0093447A" w:rsidP="00B57619">
      <w:pPr>
        <w:spacing w:before="240" w:after="360"/>
        <w:rPr>
          <w:color w:val="0072C6" w:themeColor="accent1"/>
        </w:rPr>
      </w:pPr>
    </w:p>
    <w:p w14:paraId="30B2AFE1" w14:textId="02E52DD1" w:rsidR="00770A76" w:rsidRDefault="0094181D" w:rsidP="00B57619">
      <w:pPr>
        <w:spacing w:before="240" w:after="360"/>
        <w:rPr>
          <w:color w:val="0072C6" w:themeColor="accent1"/>
        </w:rPr>
      </w:pPr>
      <w:r>
        <w:rPr>
          <w:color w:val="0072C6" w:themeColor="accent1"/>
        </w:rPr>
        <w:lastRenderedPageBreak/>
        <w:t>Minimum Sanctions for Certain Conduct</w:t>
      </w:r>
    </w:p>
    <w:p w14:paraId="0D24D9FA" w14:textId="44F07765" w:rsidR="0094181D" w:rsidRDefault="0094181D" w:rsidP="00B57619">
      <w:pPr>
        <w:spacing w:before="240" w:after="360"/>
      </w:pPr>
      <w:r>
        <w:t>Sanctions will be assigned as follows:</w:t>
      </w:r>
    </w:p>
    <w:p w14:paraId="58214A09" w14:textId="58D13B41" w:rsidR="0094181D" w:rsidRDefault="0094181D" w:rsidP="006A64BD">
      <w:pPr>
        <w:pStyle w:val="ListParagraph"/>
        <w:numPr>
          <w:ilvl w:val="0"/>
          <w:numId w:val="50"/>
        </w:numPr>
        <w:spacing w:before="240" w:after="360"/>
      </w:pPr>
      <w:r>
        <w:t xml:space="preserve">Sexual Assault – Penetration or Sexual Assault – Contact that is aggravated as defined in the </w:t>
      </w:r>
      <w:r>
        <w:rPr>
          <w:i/>
          <w:iCs/>
        </w:rPr>
        <w:t>NHSC SVSH Policy</w:t>
      </w:r>
      <w:r>
        <w:t xml:space="preserve"> will result in a minimum sanction of suspension for two calendar years.</w:t>
      </w:r>
    </w:p>
    <w:p w14:paraId="6DDB0B18" w14:textId="5FA8B279" w:rsidR="0094181D" w:rsidRDefault="0094181D" w:rsidP="006A64BD">
      <w:pPr>
        <w:pStyle w:val="ListParagraph"/>
        <w:numPr>
          <w:ilvl w:val="0"/>
          <w:numId w:val="50"/>
        </w:numPr>
        <w:spacing w:before="240" w:after="360"/>
      </w:pPr>
      <w:r>
        <w:t>Sexual Assault – Penetration, Relationship Violence, or Stalking of a Sexual Nature will result in a minimum sanction of suspension for two calendar years unless there are exceptional circumstances.</w:t>
      </w:r>
    </w:p>
    <w:p w14:paraId="65D3B5FB" w14:textId="5904CE71" w:rsidR="0094181D" w:rsidRDefault="0094181D" w:rsidP="006A64BD">
      <w:pPr>
        <w:pStyle w:val="ListParagraph"/>
        <w:numPr>
          <w:ilvl w:val="0"/>
          <w:numId w:val="50"/>
        </w:numPr>
        <w:spacing w:before="240" w:after="360"/>
      </w:pPr>
      <w:r>
        <w:t>Sexual Assault – Contact will result in a minimum sanction of suspension for one calendar year unless there are exceptional circumstances.</w:t>
      </w:r>
    </w:p>
    <w:p w14:paraId="2870A20A" w14:textId="4FF8E536" w:rsidR="0094181D" w:rsidRPr="00C92470" w:rsidRDefault="0094181D" w:rsidP="003B2D8E">
      <w:pPr>
        <w:pStyle w:val="Heading2"/>
        <w:ind w:left="720" w:hanging="720"/>
        <w:rPr>
          <w:rFonts w:asciiTheme="minorHAnsi" w:hAnsiTheme="minorHAnsi" w:cstheme="minorHAnsi"/>
          <w:sz w:val="24"/>
          <w:szCs w:val="24"/>
        </w:rPr>
      </w:pPr>
      <w:bookmarkStart w:id="53" w:name="_Toc209014405"/>
      <w:r w:rsidRPr="00C92470">
        <w:rPr>
          <w:rFonts w:asciiTheme="minorHAnsi" w:hAnsiTheme="minorHAnsi" w:cstheme="minorHAnsi"/>
          <w:sz w:val="24"/>
          <w:szCs w:val="24"/>
        </w:rPr>
        <w:t>10.10</w:t>
      </w:r>
      <w:r w:rsidRPr="00C92470">
        <w:rPr>
          <w:rFonts w:asciiTheme="minorHAnsi" w:hAnsiTheme="minorHAnsi" w:cstheme="minorHAnsi"/>
          <w:sz w:val="24"/>
          <w:szCs w:val="24"/>
        </w:rPr>
        <w:tab/>
        <w:t>RESPONDING TO REPORTS OF SEXUAL VIOLENCE – EMPLOYEE RESPONDENTS</w:t>
      </w:r>
      <w:bookmarkEnd w:id="53"/>
    </w:p>
    <w:p w14:paraId="1A7E2395" w14:textId="095FF1F6" w:rsidR="0094181D" w:rsidRDefault="0094181D" w:rsidP="0094181D">
      <w:pPr>
        <w:spacing w:before="240" w:after="360"/>
      </w:pPr>
      <w:r>
        <w:t xml:space="preserve">The following is an outline of NHSC’s procedures for responding to employee violations of the </w:t>
      </w:r>
      <w:r>
        <w:rPr>
          <w:i/>
          <w:iCs/>
        </w:rPr>
        <w:t>NHSC SVSH Policy</w:t>
      </w:r>
      <w:r>
        <w:t>.</w:t>
      </w:r>
    </w:p>
    <w:p w14:paraId="40D22496" w14:textId="0D6F859E" w:rsidR="0094181D" w:rsidRDefault="008F1F1A" w:rsidP="0094181D">
      <w:pPr>
        <w:spacing w:before="240" w:after="360"/>
      </w:pPr>
      <w:r>
        <w:t>The</w:t>
      </w:r>
      <w:r>
        <w:rPr>
          <w:i/>
          <w:iCs/>
        </w:rPr>
        <w:t xml:space="preserve"> NHSC SVSH Policy</w:t>
      </w:r>
      <w:r>
        <w:t xml:space="preserve"> describes the initial assessment of reports and other information about response processes not covered in Staff and Faculty Response Procedures.  The Staff and Faculty Response Procedures describe NHSC’s procedures for resolving both non-DOE-Covered and DOE-Covered Conduct.  Visit the Policies and Response Procedures page of the Title IX website at </w:t>
      </w:r>
      <w:hyperlink r:id="rId28" w:history="1">
        <w:r w:rsidR="00600088" w:rsidRPr="00600088">
          <w:rPr>
            <w:rStyle w:val="Hyperlink"/>
          </w:rPr>
          <w:t>https://nhsc.edu/wp-content/uploads/2023/09/Student-Handbook-2023-24.pdf</w:t>
        </w:r>
      </w:hyperlink>
      <w:r w:rsidR="00254932">
        <w:rPr>
          <w:color w:val="0072C6" w:themeColor="accent1"/>
        </w:rPr>
        <w:t xml:space="preserve"> </w:t>
      </w:r>
      <w:r>
        <w:t>to view the unabridged policy and procedures.</w:t>
      </w:r>
    </w:p>
    <w:p w14:paraId="586375A1" w14:textId="6977650E" w:rsidR="008F1F1A" w:rsidRDefault="008F1F1A" w:rsidP="0094181D">
      <w:pPr>
        <w:spacing w:before="240" w:after="360"/>
        <w:rPr>
          <w:b/>
          <w:bCs/>
        </w:rPr>
      </w:pPr>
      <w:r>
        <w:rPr>
          <w:b/>
          <w:bCs/>
        </w:rPr>
        <w:t>Initial Assessment</w:t>
      </w:r>
    </w:p>
    <w:p w14:paraId="246CBFBA" w14:textId="44B5ABC4" w:rsidR="008F1F1A" w:rsidRDefault="008F1F1A" w:rsidP="0094181D">
      <w:pPr>
        <w:spacing w:before="240" w:after="360"/>
      </w:pPr>
      <w:r>
        <w:t xml:space="preserve">Upon receipt of a report of or information about alleged Sexual Violence, Title IX will make an initial assessment in accordance with the </w:t>
      </w:r>
      <w:r>
        <w:rPr>
          <w:i/>
          <w:iCs/>
        </w:rPr>
        <w:t>N</w:t>
      </w:r>
      <w:r w:rsidR="004821D2">
        <w:rPr>
          <w:i/>
          <w:iCs/>
        </w:rPr>
        <w:t>HSC SVSH Policy,</w:t>
      </w:r>
      <w:r w:rsidR="004821D2">
        <w:t xml:space="preserve"> which shall include making an immediate assessment concerning the health and safety of the complainant and the campus </w:t>
      </w:r>
      <w:r w:rsidR="004821D2">
        <w:lastRenderedPageBreak/>
        <w:t>community, and a determination of whether the alleged conduct is DOE-Covered Conduct, other Prohibited Conduct, or a combination.</w:t>
      </w:r>
    </w:p>
    <w:p w14:paraId="088B599F" w14:textId="1C2DB635" w:rsidR="004821D2" w:rsidRDefault="004821D2" w:rsidP="0094181D">
      <w:pPr>
        <w:spacing w:before="240" w:after="360"/>
      </w:pPr>
      <w:r>
        <w:t>The criteria for determining if Sexual Violence is DOE-Covered Conduct include the date of the conduct (on or after 9/1/22)</w:t>
      </w:r>
      <w:r w:rsidR="00E25776">
        <w:t>, the location of the complainant at the time of conduct (within the United States), the location of the conduct (in an NHSC program or activity) and whether the conduct meets the criteria for DOE.</w:t>
      </w:r>
    </w:p>
    <w:p w14:paraId="20B3BE63" w14:textId="78598825" w:rsidR="00E25776" w:rsidRDefault="00E25776" w:rsidP="0094181D">
      <w:pPr>
        <w:spacing w:before="240" w:after="360"/>
      </w:pPr>
      <w:r>
        <w:t xml:space="preserve">If the alleged conduct is not DOE-Covered Conduct, Title IX will next determine whether the report on its face alleges an act of Prohibited Conduct, and if so, whether the conduct is covered by the </w:t>
      </w:r>
      <w:r>
        <w:rPr>
          <w:i/>
          <w:iCs/>
        </w:rPr>
        <w:t>NHSC SVSH Policy</w:t>
      </w:r>
      <w:r>
        <w:t xml:space="preserve">.  Title IX further assesses which policy version to use, based on the date of the conduct, and which Response Procedures to use, based on the respondent’s identity and relationship to NHSC (i.e., student, staff, non-faculty academic </w:t>
      </w:r>
      <w:r w:rsidR="00AC137F">
        <w:t>personnel, faculty</w:t>
      </w:r>
      <w:r>
        <w:t>, non- faculty, Board of Directors).</w:t>
      </w:r>
    </w:p>
    <w:p w14:paraId="056EE706" w14:textId="5ECC421A" w:rsidR="00E25776" w:rsidRDefault="00C30702" w:rsidP="0094181D">
      <w:pPr>
        <w:spacing w:before="240" w:after="360"/>
        <w:rPr>
          <w:color w:val="0072C6" w:themeColor="accent1"/>
        </w:rPr>
      </w:pPr>
      <w:r>
        <w:rPr>
          <w:color w:val="0072C6" w:themeColor="accent1"/>
        </w:rPr>
        <w:t>Supportive and Other Measures</w:t>
      </w:r>
    </w:p>
    <w:p w14:paraId="5D10CDAA" w14:textId="2C643346" w:rsidR="00C30702" w:rsidRDefault="00C30702" w:rsidP="0094181D">
      <w:pPr>
        <w:spacing w:before="240" w:after="360"/>
      </w:pPr>
      <w:r>
        <w:t xml:space="preserve">NHSC will also consider and implement supportive and other measures as appropriate to protect the safety of the parties or the NHSC community; to restore or preserve a party’s access to an NHSC program or activity; or to deter Prohibited Conduct, in accordance with the </w:t>
      </w:r>
      <w:r>
        <w:rPr>
          <w:i/>
          <w:iCs/>
        </w:rPr>
        <w:t>NHSC SVSH Policy</w:t>
      </w:r>
      <w:r>
        <w:t>.</w:t>
      </w:r>
    </w:p>
    <w:p w14:paraId="1B0FBFC7" w14:textId="1C37631F" w:rsidR="00C30702" w:rsidRDefault="00C30702" w:rsidP="0094181D">
      <w:pPr>
        <w:spacing w:before="240" w:after="360"/>
      </w:pPr>
      <w:r>
        <w:t xml:space="preserve">In addition to supportive measures discussed in the </w:t>
      </w:r>
      <w:r>
        <w:rPr>
          <w:i/>
          <w:iCs/>
        </w:rPr>
        <w:t xml:space="preserve">NHSC SVSH Policy, </w:t>
      </w:r>
      <w:r>
        <w:t>Title IX may take other measures per other NHSC policies to address safety concerns.  Title IX, in consultation with the Em</w:t>
      </w:r>
      <w:r w:rsidR="00995AF6">
        <w:t>ployee Case Management Team, will determine if any other interim measures are warranted or required to protect the involved individuals and the campus community.</w:t>
      </w:r>
    </w:p>
    <w:p w14:paraId="13E25EBA" w14:textId="7920DEA8" w:rsidR="00995AF6" w:rsidRDefault="00995AF6" w:rsidP="0094181D">
      <w:pPr>
        <w:spacing w:before="240" w:after="360"/>
      </w:pPr>
      <w:r>
        <w:t xml:space="preserve">Investigatory leave of a respondent may be imposed.  Investigatory leave of a non-faculty academic respondent may be imposed.  Involuntary leave of </w:t>
      </w:r>
      <w:r w:rsidR="00600088">
        <w:t>a faculty</w:t>
      </w:r>
      <w:r w:rsidR="000D6ABA">
        <w:t xml:space="preserve"> respondent may be imposed.  Investigatory leave of a non- faculty respondent may be imposed.</w:t>
      </w:r>
    </w:p>
    <w:p w14:paraId="1A814D54" w14:textId="4FC1CB43" w:rsidR="000D6ABA" w:rsidRDefault="000D6ABA" w:rsidP="0094181D">
      <w:pPr>
        <w:spacing w:before="240" w:after="360"/>
        <w:rPr>
          <w:color w:val="0072C6" w:themeColor="accent1"/>
        </w:rPr>
      </w:pPr>
      <w:r>
        <w:rPr>
          <w:color w:val="0072C6" w:themeColor="accent1"/>
        </w:rPr>
        <w:lastRenderedPageBreak/>
        <w:t>Written Rights &amp; Options</w:t>
      </w:r>
    </w:p>
    <w:p w14:paraId="589FB203" w14:textId="247BDEB0" w:rsidR="000D6ABA" w:rsidRDefault="000D6ABA" w:rsidP="0094181D">
      <w:pPr>
        <w:spacing w:before="240" w:after="360"/>
      </w:pPr>
      <w:r>
        <w:t>Title IX will ensure that the complainant, if their identity is know</w:t>
      </w:r>
      <w:r w:rsidR="0059249B">
        <w:t>n</w:t>
      </w:r>
      <w:r>
        <w:t xml:space="preserve">, is provided a written explanation of rights and available options as outlined in the </w:t>
      </w:r>
      <w:r>
        <w:rPr>
          <w:i/>
          <w:iCs/>
        </w:rPr>
        <w:t>NHSC SVSH Policy,</w:t>
      </w:r>
      <w:r>
        <w:t xml:space="preserve"> including:</w:t>
      </w:r>
    </w:p>
    <w:p w14:paraId="10DB4581" w14:textId="643AB949" w:rsidR="000D6ABA" w:rsidRDefault="000D6ABA" w:rsidP="006A64BD">
      <w:pPr>
        <w:pStyle w:val="ListParagraph"/>
        <w:numPr>
          <w:ilvl w:val="0"/>
          <w:numId w:val="51"/>
        </w:numPr>
        <w:spacing w:before="240" w:after="360"/>
      </w:pPr>
      <w:r>
        <w:t>How and to whom to report alleged violations;</w:t>
      </w:r>
    </w:p>
    <w:p w14:paraId="3BE31FA7" w14:textId="7B3C2698" w:rsidR="000D6ABA" w:rsidRDefault="000D6ABA" w:rsidP="006A64BD">
      <w:pPr>
        <w:pStyle w:val="ListParagraph"/>
        <w:numPr>
          <w:ilvl w:val="0"/>
          <w:numId w:val="51"/>
        </w:numPr>
        <w:spacing w:before="240" w:after="360"/>
      </w:pPr>
      <w:r>
        <w:t>Options for reporting to and/or notifying law enforcement and campus authorities;</w:t>
      </w:r>
    </w:p>
    <w:p w14:paraId="4DA19C04" w14:textId="21E40F87" w:rsidR="000D6ABA" w:rsidRDefault="000D6ABA" w:rsidP="006A64BD">
      <w:pPr>
        <w:pStyle w:val="ListParagraph"/>
        <w:numPr>
          <w:ilvl w:val="0"/>
          <w:numId w:val="51"/>
        </w:numPr>
        <w:spacing w:before="240" w:after="360"/>
      </w:pPr>
      <w:r>
        <w:t>Information regarding confidential resources;</w:t>
      </w:r>
    </w:p>
    <w:p w14:paraId="45347EAA" w14:textId="1205EF7B" w:rsidR="000D6ABA" w:rsidRDefault="000D6ABA" w:rsidP="006A64BD">
      <w:pPr>
        <w:pStyle w:val="ListParagraph"/>
        <w:numPr>
          <w:ilvl w:val="0"/>
          <w:numId w:val="51"/>
        </w:numPr>
        <w:spacing w:before="240" w:after="360"/>
      </w:pPr>
      <w:r>
        <w:t>The rights of complainants regarding orders of protection, restraining orders, or similar lawful orders issued by criminal or civil courts;</w:t>
      </w:r>
    </w:p>
    <w:p w14:paraId="08C0FD55" w14:textId="27BB4647" w:rsidR="000D6ABA" w:rsidRDefault="000D6ABA" w:rsidP="006A64BD">
      <w:pPr>
        <w:pStyle w:val="ListParagraph"/>
        <w:numPr>
          <w:ilvl w:val="0"/>
          <w:numId w:val="51"/>
        </w:numPr>
        <w:spacing w:before="240" w:after="360"/>
      </w:pPr>
      <w:r>
        <w:t>The importance of preserving evidence that may assist in proving that a criminal offense occurred or in obtaining a protection order;</w:t>
      </w:r>
    </w:p>
    <w:p w14:paraId="5683D155" w14:textId="15A3DBE6" w:rsidR="000D6ABA" w:rsidRDefault="000D6ABA" w:rsidP="006A64BD">
      <w:pPr>
        <w:pStyle w:val="ListParagraph"/>
        <w:numPr>
          <w:ilvl w:val="0"/>
          <w:numId w:val="51"/>
        </w:numPr>
        <w:spacing w:before="240" w:after="360"/>
      </w:pPr>
      <w:r>
        <w:t>Counseling, health, assistance mental health assistance, victim advocacy,</w:t>
      </w:r>
      <w:r w:rsidR="00713323">
        <w:t xml:space="preserve"> legal assistance, visa and immigration assistance, and other services available both within the institution and the community;</w:t>
      </w:r>
    </w:p>
    <w:p w14:paraId="4A37C8F1" w14:textId="0ABC64C6" w:rsidR="00713323" w:rsidRDefault="00713323" w:rsidP="006A64BD">
      <w:pPr>
        <w:pStyle w:val="ListParagraph"/>
        <w:numPr>
          <w:ilvl w:val="0"/>
          <w:numId w:val="51"/>
        </w:numPr>
        <w:spacing w:before="240" w:after="360"/>
      </w:pPr>
      <w:r>
        <w:t>Options for, and available assistance to, a change to academic, living, transportation, and working situations, if the complainant requests and if such options are reasonably available – regardless of whether the complainant chooses to report the crime to law enforcement; and</w:t>
      </w:r>
    </w:p>
    <w:p w14:paraId="7872A9D0" w14:textId="5CDEE3AA" w:rsidR="00713323" w:rsidRDefault="00713323" w:rsidP="006A64BD">
      <w:pPr>
        <w:pStyle w:val="ListParagraph"/>
        <w:numPr>
          <w:ilvl w:val="0"/>
          <w:numId w:val="51"/>
        </w:numPr>
        <w:spacing w:before="240" w:after="360"/>
      </w:pPr>
      <w:r>
        <w:t>The range of possible outcomes for the report, including supportive and remedial measures and disciplinary actions, the procedures leading to such outcomes, and their right to make a DOE Formal Complaint.</w:t>
      </w:r>
    </w:p>
    <w:p w14:paraId="6DD0E917" w14:textId="4274A7A6" w:rsidR="00713323" w:rsidRDefault="001B677C" w:rsidP="001B677C">
      <w:pPr>
        <w:spacing w:before="240" w:after="360"/>
        <w:rPr>
          <w:b/>
          <w:bCs/>
        </w:rPr>
      </w:pPr>
      <w:r>
        <w:rPr>
          <w:b/>
          <w:bCs/>
        </w:rPr>
        <w:t>Investigating and Resolving Reports of Prohibited Conduct</w:t>
      </w:r>
    </w:p>
    <w:p w14:paraId="105068E5" w14:textId="78B580F6" w:rsidR="001B677C" w:rsidRDefault="001B677C" w:rsidP="001B677C">
      <w:pPr>
        <w:spacing w:before="240" w:after="360"/>
      </w:pPr>
      <w:r>
        <w:t xml:space="preserve">Provided NHSC has sufficient information to respond, and in accordance with the </w:t>
      </w:r>
      <w:r>
        <w:rPr>
          <w:i/>
          <w:iCs/>
        </w:rPr>
        <w:t xml:space="preserve">NHSC SVSH Policy, </w:t>
      </w:r>
      <w:r>
        <w:t xml:space="preserve">NHSC may resolve reports of alleged Prohibited Conduct by employee respondents through Alternative Resolution, a Formal Investigation, a DOE Grievance Process.  Other inquiry, or a </w:t>
      </w:r>
      <w:r w:rsidR="0093447A">
        <w:t>separate</w:t>
      </w:r>
      <w:r>
        <w:t xml:space="preserve"> employee grievance or complaint process.  Each of these is described below.</w:t>
      </w:r>
    </w:p>
    <w:p w14:paraId="04C5D2B6" w14:textId="74D8690C" w:rsidR="001B677C" w:rsidRDefault="001B677C" w:rsidP="001B677C">
      <w:pPr>
        <w:spacing w:before="240" w:after="360"/>
        <w:rPr>
          <w:color w:val="0072C6" w:themeColor="accent1"/>
        </w:rPr>
      </w:pPr>
      <w:r>
        <w:rPr>
          <w:color w:val="0072C6" w:themeColor="accent1"/>
        </w:rPr>
        <w:lastRenderedPageBreak/>
        <w:t>Alternative Resolution</w:t>
      </w:r>
    </w:p>
    <w:p w14:paraId="2D42F6F5" w14:textId="6664DFB9" w:rsidR="001B677C" w:rsidRDefault="001B677C" w:rsidP="001B677C">
      <w:pPr>
        <w:spacing w:before="240" w:after="360"/>
      </w:pPr>
      <w:r>
        <w:t>After an initial assessment of the alleged facts, if the complainant and respondent agree in writing, the Title IX Officer may initiate an Alternative Resolution process.  Alternative Resolution is not available when the complainant is a student, and the respondent is an employee.  The Ti</w:t>
      </w:r>
      <w:r w:rsidR="00BC6718">
        <w:t>tle</w:t>
      </w:r>
      <w:r>
        <w:t xml:space="preserve"> IX</w:t>
      </w:r>
      <w:r w:rsidR="00BC6718">
        <w:t xml:space="preserve"> Officer will, if appropriate, begin the process in consultation with other offices, depending on whether the complainant respondent </w:t>
      </w:r>
      <w:r w:rsidR="006F7F74">
        <w:t>is</w:t>
      </w:r>
      <w:r w:rsidR="00BC6718">
        <w:t xml:space="preserve"> faculty, other academic appointees, staff, student employees, or students.</w:t>
      </w:r>
    </w:p>
    <w:p w14:paraId="17B9C5AD" w14:textId="4AE1B98D" w:rsidR="00BC6718" w:rsidRDefault="00BC6718" w:rsidP="001B677C">
      <w:pPr>
        <w:spacing w:before="240" w:after="360"/>
      </w:pPr>
      <w:r>
        <w:t>Alternative Resolution may include, among other responses:</w:t>
      </w:r>
    </w:p>
    <w:p w14:paraId="50982E1D" w14:textId="1A8B7EB9" w:rsidR="00BC6718" w:rsidRDefault="00BC6718" w:rsidP="006A64BD">
      <w:pPr>
        <w:pStyle w:val="ListParagraph"/>
        <w:numPr>
          <w:ilvl w:val="0"/>
          <w:numId w:val="52"/>
        </w:numPr>
        <w:spacing w:before="240" w:after="360"/>
      </w:pPr>
      <w:r>
        <w:t>Separating the parties;</w:t>
      </w:r>
    </w:p>
    <w:p w14:paraId="748940FE" w14:textId="7048FEC0" w:rsidR="00BC6718" w:rsidRDefault="00BC6718" w:rsidP="006A64BD">
      <w:pPr>
        <w:pStyle w:val="ListParagraph"/>
        <w:numPr>
          <w:ilvl w:val="0"/>
          <w:numId w:val="52"/>
        </w:numPr>
        <w:spacing w:before="240" w:after="360"/>
      </w:pPr>
      <w:r>
        <w:t>Providing for safety;</w:t>
      </w:r>
    </w:p>
    <w:p w14:paraId="3B61EFA1" w14:textId="5F318F66" w:rsidR="00BC6718" w:rsidRDefault="00BC6718" w:rsidP="006A64BD">
      <w:pPr>
        <w:pStyle w:val="ListParagraph"/>
        <w:numPr>
          <w:ilvl w:val="0"/>
          <w:numId w:val="52"/>
        </w:numPr>
        <w:spacing w:before="240" w:after="360"/>
      </w:pPr>
      <w:r>
        <w:t>Referring the parties to counseling;</w:t>
      </w:r>
    </w:p>
    <w:p w14:paraId="0B571C91" w14:textId="6FB049FC" w:rsidR="00BC6718" w:rsidRDefault="00BC6718" w:rsidP="006A64BD">
      <w:pPr>
        <w:pStyle w:val="ListParagraph"/>
        <w:numPr>
          <w:ilvl w:val="0"/>
          <w:numId w:val="52"/>
        </w:numPr>
        <w:spacing w:before="240" w:after="360"/>
      </w:pPr>
      <w:r>
        <w:t>Mediation (except in cases of Sexual Violence);</w:t>
      </w:r>
    </w:p>
    <w:p w14:paraId="59132BAD" w14:textId="1306F3A9" w:rsidR="00BC6718" w:rsidRDefault="00BC6718" w:rsidP="006A64BD">
      <w:pPr>
        <w:pStyle w:val="ListParagraph"/>
        <w:numPr>
          <w:ilvl w:val="0"/>
          <w:numId w:val="52"/>
        </w:numPr>
        <w:spacing w:before="240" w:after="360"/>
      </w:pPr>
      <w:r>
        <w:t>Referral for disciplinary action;</w:t>
      </w:r>
    </w:p>
    <w:p w14:paraId="0CBE4316" w14:textId="6D7D8574" w:rsidR="00BC6718" w:rsidRDefault="00BC6718" w:rsidP="006A64BD">
      <w:pPr>
        <w:pStyle w:val="ListParagraph"/>
        <w:numPr>
          <w:ilvl w:val="0"/>
          <w:numId w:val="52"/>
        </w:numPr>
        <w:spacing w:before="240" w:after="360"/>
      </w:pPr>
      <w:r>
        <w:t>An agreement between the parties; and conducting a follow-up review to ensure that the resolution has been carried out effectively.</w:t>
      </w:r>
    </w:p>
    <w:p w14:paraId="03759633" w14:textId="3E40E766" w:rsidR="00BC6718" w:rsidRDefault="00BC6718" w:rsidP="00BC6718">
      <w:pPr>
        <w:spacing w:before="240" w:after="360"/>
      </w:pPr>
      <w:r>
        <w:t>Alternative Resolution</w:t>
      </w:r>
      <w:r w:rsidR="00E319A0">
        <w:t xml:space="preserve"> may be especially useful when: an investigation is not likely to lead to a resolution; both parties prefer an informal process; or a case involves less serious allegations.  The Title IX Officer has discretion to determine whether the complaint is appropriate for Alternative Resolution, to determine the type of resolution to pursue, and to </w:t>
      </w:r>
      <w:r w:rsidR="0059249B">
        <w:t>stop</w:t>
      </w:r>
      <w:r w:rsidR="00E319A0">
        <w:t xml:space="preserve"> the process at any time before its conclusion and move to a Formal Investigation or a DOE Grievance Process.</w:t>
      </w:r>
    </w:p>
    <w:p w14:paraId="0F6639B8" w14:textId="3DF6267D" w:rsidR="00E319A0" w:rsidRDefault="00E319A0" w:rsidP="00BC6718">
      <w:pPr>
        <w:spacing w:before="240" w:after="360"/>
      </w:pPr>
      <w:r>
        <w:t>Participation in Alternative Resolution is voluntary; both parties must agree to participate.  If Alternative Resolution is selected, the Title IX Officer will provide timely written notice to both parties of the allegations, and that: the Title IX Officer has begun the process, the process is voluntary and will terminate upon either party’s request, termination may result in a Formal Investigation</w:t>
      </w:r>
      <w:r w:rsidR="00C8753E">
        <w:t xml:space="preserve"> or DOE Grievance Process, they may be accompanied by an advisor throughout </w:t>
      </w:r>
      <w:r w:rsidR="00C8753E">
        <w:lastRenderedPageBreak/>
        <w:t>the process, the Title IX Officer will notify both parties of the process’s outcome, and the process is private but not confidential (i.e., records from and information shared during the process may be considered in any subsequent resolution process).</w:t>
      </w:r>
    </w:p>
    <w:p w14:paraId="272F5431" w14:textId="5431CCA7" w:rsidR="00C8753E" w:rsidRDefault="00C8753E" w:rsidP="00BC6718">
      <w:pPr>
        <w:spacing w:before="240" w:after="360"/>
      </w:pPr>
      <w:r>
        <w:t xml:space="preserve">Alternative Resolution will be completed promptly, typically within 30 to 60 business days of notifying the parties in writing of starting the process.  However, the Title IX Officer may extend </w:t>
      </w:r>
      <w:r w:rsidR="0093447A">
        <w:t>the past</w:t>
      </w:r>
      <w:r>
        <w:t xml:space="preserve"> 60 days for good cause.  The Title IX Officer will notify the parties in writing of the reason for any extension and the projected new timeline.  The actual time required will depend on the specific circumstances, including the complexity of the allegations and the nature of the alleged conduct.</w:t>
      </w:r>
    </w:p>
    <w:p w14:paraId="2E014484" w14:textId="23C1B499" w:rsidR="00C8753E" w:rsidRDefault="00C8753E" w:rsidP="00BC6718">
      <w:pPr>
        <w:spacing w:before="240" w:after="360"/>
      </w:pPr>
      <w:r>
        <w:t>Once the parties have agreed to the terms of an Alternative Resolution, NHSC will not conduct a Formal Investigation or DOE Grievance Process unless the Title IX Officer determines that the respondent failed to satisfy the terms of the Alternative Resolution, or that the Alternative Resolution was unsuccessful in stopping the Prohibited Conduct or preventing its recurrence.</w:t>
      </w:r>
    </w:p>
    <w:p w14:paraId="593A226E" w14:textId="542B877E" w:rsidR="00C8753E" w:rsidRDefault="00177921" w:rsidP="00BC6718">
      <w:pPr>
        <w:spacing w:before="240" w:after="360"/>
        <w:rPr>
          <w:color w:val="0072C6" w:themeColor="accent1"/>
        </w:rPr>
      </w:pPr>
      <w:r>
        <w:rPr>
          <w:color w:val="0072C6" w:themeColor="accent1"/>
        </w:rPr>
        <w:t>Formal Investigation or DOE Grievance Process</w:t>
      </w:r>
    </w:p>
    <w:p w14:paraId="45186726" w14:textId="24114E11" w:rsidR="00503689" w:rsidRDefault="00731581" w:rsidP="00BC6718">
      <w:pPr>
        <w:spacing w:before="240" w:after="360"/>
      </w:pPr>
      <w:r>
        <w:t>In cases where Alternative Resolution is inappropriate or unsuccessful, Title IX may conduct an investigation, per the Formal Investigation or DOE Grievance Process provisions</w:t>
      </w:r>
      <w:r w:rsidR="005B0AF7">
        <w:t xml:space="preserve"> in the </w:t>
      </w:r>
      <w:r w:rsidR="005B0AF7">
        <w:rPr>
          <w:i/>
          <w:iCs/>
        </w:rPr>
        <w:t xml:space="preserve">NHSC SVSH Policy.  </w:t>
      </w:r>
      <w:r w:rsidR="005B0AF7">
        <w:t xml:space="preserve">When NHSC opens an </w:t>
      </w:r>
      <w:r w:rsidR="00600088">
        <w:t>investigation of allegations</w:t>
      </w:r>
      <w:r w:rsidR="005B0AF7">
        <w:t xml:space="preserve"> of DOE-Covered Conduct and other Prohibited Conduct that arise out of the same facts or circumstances, it will address all allegations together through the DOE Grievance Process.</w:t>
      </w:r>
    </w:p>
    <w:p w14:paraId="0B1E7189" w14:textId="71EEC0AF" w:rsidR="00562C39" w:rsidRDefault="00562C39" w:rsidP="00BC6718">
      <w:pPr>
        <w:spacing w:before="240" w:after="360"/>
      </w:pPr>
      <w:r>
        <w:t>The following are applicable to Formal Investigations and DOE Grievance Processes.</w:t>
      </w:r>
    </w:p>
    <w:p w14:paraId="40FB9126" w14:textId="7D4178D2" w:rsidR="00562C39" w:rsidRDefault="00562C39" w:rsidP="006A64BD">
      <w:pPr>
        <w:pStyle w:val="ListParagraph"/>
        <w:numPr>
          <w:ilvl w:val="0"/>
          <w:numId w:val="53"/>
        </w:numPr>
        <w:spacing w:before="240" w:after="360"/>
      </w:pPr>
      <w:r>
        <w:rPr>
          <w:b/>
          <w:bCs/>
        </w:rPr>
        <w:t xml:space="preserve">Notification:  </w:t>
      </w:r>
      <w:r>
        <w:t xml:space="preserve">Title IX will notify the appropriate administrative authorities when a Formal Investigation or DOE Grievance Process </w:t>
      </w:r>
      <w:r w:rsidR="00600088">
        <w:t>commences</w:t>
      </w:r>
      <w:r>
        <w:t>.  Title IX will be sensiti</w:t>
      </w:r>
      <w:r w:rsidR="00E9081D">
        <w:t>ve in its communication to protect the neutrality of the administrative authorities, as well as the privacy</w:t>
      </w:r>
      <w:r w:rsidR="007D360C">
        <w:t xml:space="preserve"> of the complainant and respondent.  Thereafter, Title IX will ensure that the </w:t>
      </w:r>
      <w:r w:rsidR="007D360C">
        <w:lastRenderedPageBreak/>
        <w:t>appropriate administrative authorities</w:t>
      </w:r>
      <w:r w:rsidR="006C0735">
        <w:t xml:space="preserve"> are regularly updated regarding the status of the Formal Investigation or DOE Grievance Process.</w:t>
      </w:r>
    </w:p>
    <w:p w14:paraId="72FA4740" w14:textId="478CE0BF" w:rsidR="006C0735" w:rsidRDefault="0024436C" w:rsidP="006A64BD">
      <w:pPr>
        <w:pStyle w:val="ListParagraph"/>
        <w:numPr>
          <w:ilvl w:val="0"/>
          <w:numId w:val="53"/>
        </w:numPr>
        <w:spacing w:before="240" w:after="360"/>
      </w:pPr>
      <w:r>
        <w:rPr>
          <w:b/>
          <w:bCs/>
        </w:rPr>
        <w:t>Notice of Charges:</w:t>
      </w:r>
      <w:r>
        <w:t xml:space="preserve">  When a Formal Investigation or DOE Grievance Process </w:t>
      </w:r>
      <w:r w:rsidR="00600088">
        <w:t>is</w:t>
      </w:r>
      <w:r>
        <w:t xml:space="preserve"> conducted, Title IX will simultaneously send written notice of the charges to the complainant and the respondent.</w:t>
      </w:r>
    </w:p>
    <w:p w14:paraId="41368AFF" w14:textId="388F948F" w:rsidR="0024436C" w:rsidRDefault="0024436C" w:rsidP="006A64BD">
      <w:pPr>
        <w:pStyle w:val="ListParagraph"/>
        <w:numPr>
          <w:ilvl w:val="0"/>
          <w:numId w:val="53"/>
        </w:numPr>
        <w:spacing w:before="240" w:after="360"/>
      </w:pPr>
      <w:r>
        <w:rPr>
          <w:b/>
          <w:bCs/>
        </w:rPr>
        <w:t>Investigative Process:</w:t>
      </w:r>
      <w:r>
        <w:t xml:space="preserve">  The Title IX Officer will designate an investi</w:t>
      </w:r>
      <w:r w:rsidR="00FE308C">
        <w:t>gator to conduc</w:t>
      </w:r>
      <w:r w:rsidR="00566F8F">
        <w:t>t a fair, thorough, and impartial investigation.  While the parties have the right to identify evidence and witnesses, NHSC</w:t>
      </w:r>
      <w:r w:rsidR="00990A5A">
        <w:t xml:space="preserve"> bears the burden of proof and of gathering evidence sufficient to reach a determination regarding responsibility.</w:t>
      </w:r>
    </w:p>
    <w:p w14:paraId="5F8D340F" w14:textId="2DB4AC69" w:rsidR="00990A5A" w:rsidRDefault="00952DE4" w:rsidP="00952DE4">
      <w:pPr>
        <w:spacing w:before="240" w:after="360"/>
      </w:pPr>
      <w:r>
        <w:rPr>
          <w:color w:val="0072C6" w:themeColor="accent1"/>
        </w:rPr>
        <w:t>-Overview</w:t>
      </w:r>
      <w:r>
        <w:t>:  During the investigation, the complainant and respondent will be provided</w:t>
      </w:r>
      <w:r w:rsidR="00F92FBE">
        <w:t xml:space="preserve"> an equal opportunity to meet with the investigator, submit information, and identify witnesses who may have relevant information.  The investigator will meet separately with the complainant, the respondent, and any </w:t>
      </w:r>
      <w:r w:rsidR="0059249B">
        <w:t>third-party</w:t>
      </w:r>
      <w:r w:rsidR="00F92FBE">
        <w:t xml:space="preserve"> witnesses</w:t>
      </w:r>
      <w:r w:rsidR="004C7351">
        <w:t xml:space="preserve"> who may have relevant information, and will gather other available and relevant information.  The investigator may follow up with the complainant</w:t>
      </w:r>
      <w:r w:rsidR="00071C78">
        <w:t xml:space="preserve"> or respondent as needed to clarify any inconsistencies</w:t>
      </w:r>
      <w:r w:rsidR="00B12940">
        <w:t xml:space="preserve"> or new information gathered during the course of the investigation.  Disclosure of facts to </w:t>
      </w:r>
      <w:r w:rsidR="0093447A">
        <w:t>people</w:t>
      </w:r>
      <w:r w:rsidR="00B12940">
        <w:t xml:space="preserve"> interviewed will be limited to what is reasonably necessary to conduct a fair and thorough investigation.  Participants in an investigation</w:t>
      </w:r>
      <w:r w:rsidR="00784B32">
        <w:t xml:space="preserve"> may be asked to maintain confidentiality when essential to protect the integrity of the investigation.  The complainant and the respondent may have an advisor present when personally interviewed and at any related meeting.  Other witness</w:t>
      </w:r>
      <w:r w:rsidR="007B3EBF">
        <w:t>es may have a representative present at the discretion of the investigator or as required</w:t>
      </w:r>
      <w:r w:rsidR="00E2025E">
        <w:t xml:space="preserve"> by NHSC policy or their collective bargaining agreement.</w:t>
      </w:r>
    </w:p>
    <w:p w14:paraId="3D2924DF" w14:textId="119F8CDB" w:rsidR="00E2025E" w:rsidRDefault="006D40D4" w:rsidP="00952DE4">
      <w:pPr>
        <w:spacing w:before="240" w:after="360"/>
      </w:pPr>
      <w:r>
        <w:t>-</w:t>
      </w:r>
      <w:r>
        <w:rPr>
          <w:color w:val="0072C6" w:themeColor="accent1"/>
        </w:rPr>
        <w:t xml:space="preserve">Coordination with Law Enforcement: </w:t>
      </w:r>
      <w:r>
        <w:t xml:space="preserve"> When a law enforcement agency is conducting its own investigation into the alleged conduct, the Title IX investigator will make </w:t>
      </w:r>
      <w:r w:rsidR="00B5062E">
        <w:t>every effort to coordinate their fact-finding efforts with the law enforcement investigation.  At the request of law enforcement, the investigation may be delayed meeting specific needs of a criminal investigation.</w:t>
      </w:r>
    </w:p>
    <w:p w14:paraId="513884F7" w14:textId="3C32DCFA" w:rsidR="00453189" w:rsidRDefault="00453189" w:rsidP="00952DE4">
      <w:pPr>
        <w:spacing w:before="240" w:after="360"/>
      </w:pPr>
      <w:r>
        <w:lastRenderedPageBreak/>
        <w:t>-</w:t>
      </w:r>
      <w:r>
        <w:rPr>
          <w:color w:val="0072C6" w:themeColor="accent1"/>
        </w:rPr>
        <w:t xml:space="preserve">Evidence Review:  </w:t>
      </w:r>
      <w:r>
        <w:t>Before the investigator concludes the investigation and finalizes a written report, both complainant and respondent will have an equal opportunity to review and respond in writing</w:t>
      </w:r>
      <w:r w:rsidR="009738A7">
        <w:t xml:space="preserve"> to the evidence that the investigator has deemed directly related, including evidence</w:t>
      </w:r>
      <w:r w:rsidR="00F45D17">
        <w:t xml:space="preserve"> that weighs</w:t>
      </w:r>
      <w:r w:rsidR="00B44F0A">
        <w:t xml:space="preserve"> against finding a policy violation(s) and evidence on which the investigator does not intend to rely, whether obtained from a party or another source.  This is true regardless of whether</w:t>
      </w:r>
      <w:r w:rsidR="000A494E">
        <w:t xml:space="preserve"> a party has participated in the investigation.  This revie</w:t>
      </w:r>
      <w:r w:rsidR="00275B25">
        <w:t>w will also include a summary of directly related statements made by the parties and any witnesses.  The Title IX Officer will ensure that this review occurs in a manner designed to protect the privacy of both parties.  The Title IX Officer will designate a reasonable time for this review and response by the parties that, absent good cause found by the Title IX Officer, of at least 10 business days.</w:t>
      </w:r>
    </w:p>
    <w:p w14:paraId="679C9D17" w14:textId="4BD9438F" w:rsidR="00275B25" w:rsidRDefault="00D91D70" w:rsidP="00952DE4">
      <w:pPr>
        <w:spacing w:before="240" w:after="360"/>
        <w:rPr>
          <w:b/>
          <w:bCs/>
        </w:rPr>
      </w:pPr>
      <w:r>
        <w:rPr>
          <w:b/>
          <w:bCs/>
        </w:rPr>
        <w:t>Investigative Report and Determination or Prelimina</w:t>
      </w:r>
      <w:r w:rsidR="00532A0B">
        <w:rPr>
          <w:b/>
          <w:bCs/>
        </w:rPr>
        <w:t>ry Determination:</w:t>
      </w:r>
    </w:p>
    <w:p w14:paraId="7E7D59D1" w14:textId="2E1AD962" w:rsidR="00532A0B" w:rsidRDefault="00532A0B" w:rsidP="00952DE4">
      <w:pPr>
        <w:spacing w:before="240" w:after="360"/>
      </w:pPr>
      <w:r>
        <w:t>Following the conclusion of the investigation, the Title IX investigator will prepare a written report.  The written Investigativ</w:t>
      </w:r>
      <w:r w:rsidR="00DA1A6D">
        <w:t>e Report will include a statement of the allegations and issues, the statements of the parties and witnesses, and a summary of the evidence the investigator considered.</w:t>
      </w:r>
    </w:p>
    <w:p w14:paraId="755976C2" w14:textId="46D61823" w:rsidR="00DA1A6D" w:rsidRDefault="00DA1A6D" w:rsidP="00952DE4">
      <w:pPr>
        <w:spacing w:before="240" w:after="360"/>
        <w:rPr>
          <w:i/>
          <w:iCs/>
        </w:rPr>
      </w:pPr>
      <w:r>
        <w:t xml:space="preserve">The Investigative Report will include findings of face and a preliminary determination (in a DOE Grievance Process) or a determination (in a Formal Investigation) regarding whether, </w:t>
      </w:r>
      <w:r w:rsidR="00474DBF">
        <w:t xml:space="preserve">applying the preponderance of the evidence standard, there is sufficient evidence to conclude that the respondent violated the </w:t>
      </w:r>
      <w:r w:rsidR="00474DBF">
        <w:rPr>
          <w:i/>
          <w:iCs/>
        </w:rPr>
        <w:t>NHSC SVSH Policy.</w:t>
      </w:r>
    </w:p>
    <w:p w14:paraId="354F522F" w14:textId="1B583498" w:rsidR="00474DBF" w:rsidRDefault="004E0A33" w:rsidP="00952DE4">
      <w:pPr>
        <w:spacing w:before="240" w:after="360"/>
      </w:pPr>
      <w:r>
        <w:t>If the findings of fact in a Formal Investigation indicate that DOE-Covered Conduct occurred, then Title IX will make a preliminary determination and notify</w:t>
      </w:r>
      <w:r w:rsidR="002A6A72">
        <w:t xml:space="preserve"> the parties that the case will proceed as a DOE Grievance Process.  If, instead, the investigator prelimin</w:t>
      </w:r>
      <w:r w:rsidR="00C90FDB">
        <w:t>arily determines that conduct charged as DOE-Covered Conduct in a DOE Grievance Process does not meet that def</w:t>
      </w:r>
      <w:r w:rsidR="004B12BE">
        <w:t>inition, the Investigative Report will include</w:t>
      </w:r>
      <w:r w:rsidR="006E1B63">
        <w:t xml:space="preserve"> analysis and preliminary determinations of both whether the respondent engaged in DOE-Covered Conduct and other Prohibited Conduct.</w:t>
      </w:r>
    </w:p>
    <w:p w14:paraId="698E1E8B" w14:textId="7E3B2E92" w:rsidR="00262062" w:rsidRDefault="006E1B63" w:rsidP="006A64BD">
      <w:pPr>
        <w:pStyle w:val="ListParagraph"/>
        <w:numPr>
          <w:ilvl w:val="0"/>
          <w:numId w:val="54"/>
        </w:numPr>
        <w:spacing w:before="240" w:after="360"/>
      </w:pPr>
      <w:r>
        <w:rPr>
          <w:b/>
          <w:bCs/>
        </w:rPr>
        <w:lastRenderedPageBreak/>
        <w:t xml:space="preserve">Notice of Investigative Outcome:  </w:t>
      </w:r>
      <w:r>
        <w:t>Upon completion of the Investigative Report, the Title IX Officer or designee will send to the complainant and the respondent a written notice of investigation outcome regarding the investigator’s preliminary determination or de</w:t>
      </w:r>
      <w:r w:rsidR="00AD77E8">
        <w:t xml:space="preserve">termination (whichever applies) of whether there was a violation of the </w:t>
      </w:r>
      <w:r w:rsidR="00AD77E8">
        <w:rPr>
          <w:i/>
          <w:iCs/>
        </w:rPr>
        <w:t>NHSC SVSH Policy</w:t>
      </w:r>
      <w:r w:rsidR="00842344">
        <w:t>.  The notice of investigative outcome will generally be accompanied by a copy of the Investigative Report, which may be redacted as necessary to protec</w:t>
      </w:r>
      <w:r w:rsidR="00262062">
        <w:t>t privacy rights</w:t>
      </w:r>
      <w:r w:rsidR="001B748B">
        <w:t>.  The Title IX Officer or designee will also send the notice of investigation outcome and accompanying Investigative Report to the appropriate administrative authority.</w:t>
      </w:r>
    </w:p>
    <w:p w14:paraId="42758434" w14:textId="7E28F05D" w:rsidR="001B748B" w:rsidRDefault="00A11E10" w:rsidP="006A64BD">
      <w:pPr>
        <w:pStyle w:val="ListParagraph"/>
        <w:numPr>
          <w:ilvl w:val="0"/>
          <w:numId w:val="54"/>
        </w:numPr>
        <w:spacing w:before="240" w:after="360"/>
      </w:pPr>
      <w:r>
        <w:rPr>
          <w:b/>
          <w:bCs/>
        </w:rPr>
        <w:t>Timeframe for Completion of Investigation;</w:t>
      </w:r>
      <w:r>
        <w:t xml:space="preserve"> </w:t>
      </w:r>
      <w:r>
        <w:rPr>
          <w:b/>
          <w:bCs/>
        </w:rPr>
        <w:t xml:space="preserve">Extension for Good Cause:  </w:t>
      </w:r>
      <w:r>
        <w:t>The notice of investigation outcome and accompanying Investigative Report</w:t>
      </w:r>
      <w:r w:rsidR="0075755D">
        <w:t xml:space="preserve"> will be issued promptly, typically within sixty (60) to ninety (90) business days of initiation of the Formal Investigati</w:t>
      </w:r>
      <w:r w:rsidR="00E05AF7">
        <w:t>on or DOE Grievance Process, unless extended by the Title IX Officer for good cause, with written notice to the complainant and the respondent of the reason for the extension and the projected new timeline.</w:t>
      </w:r>
    </w:p>
    <w:p w14:paraId="49D88985" w14:textId="3278EF9B" w:rsidR="00E05AF7" w:rsidRDefault="00960AE0" w:rsidP="00E05AF7">
      <w:pPr>
        <w:spacing w:before="240" w:after="360"/>
        <w:rPr>
          <w:color w:val="0072C6" w:themeColor="accent1"/>
        </w:rPr>
      </w:pPr>
      <w:r>
        <w:rPr>
          <w:color w:val="0072C6" w:themeColor="accent1"/>
        </w:rPr>
        <w:t>Other Inquiry</w:t>
      </w:r>
    </w:p>
    <w:p w14:paraId="098FD0E1" w14:textId="0A39E837" w:rsidR="00960AE0" w:rsidRDefault="00960AE0" w:rsidP="00E05AF7">
      <w:pPr>
        <w:spacing w:before="240" w:after="360"/>
      </w:pPr>
      <w:r>
        <w:t>When a report is not closed after initial assessment yet is not appropriate for Alternative Resolution, a Formal Investigation, or a DOE Grievance Process because there is no individual</w:t>
      </w:r>
      <w:r w:rsidR="00B811B7">
        <w:t xml:space="preserve"> identifiable </w:t>
      </w:r>
      <w:r w:rsidR="00D36911">
        <w:t>respondent</w:t>
      </w:r>
      <w:r w:rsidR="00BC444D">
        <w:t xml:space="preserve"> over whom Title IX has jurisdiction, Title IX will conduct an inquiry to try to determine what occurred and take prompt steps reasonably calculated to stop any substantiated conduct, prevent its recurr</w:t>
      </w:r>
      <w:r w:rsidR="00D4689B">
        <w:t>ence, and, as appropriate, remedy its effects.</w:t>
      </w:r>
    </w:p>
    <w:p w14:paraId="6E30844F" w14:textId="57FD7483" w:rsidR="00D4689B" w:rsidRDefault="006A721F" w:rsidP="00E05AF7">
      <w:pPr>
        <w:spacing w:before="240" w:after="360"/>
      </w:pPr>
      <w:r>
        <w:t>The extent of the inquiry and responsive steps will depend on the specific circumstances.  This includes, for example:</w:t>
      </w:r>
    </w:p>
    <w:p w14:paraId="08E14FDC" w14:textId="43333012" w:rsidR="006A721F" w:rsidRDefault="00221A80" w:rsidP="006A64BD">
      <w:pPr>
        <w:pStyle w:val="ListParagraph"/>
        <w:numPr>
          <w:ilvl w:val="0"/>
          <w:numId w:val="55"/>
        </w:numPr>
        <w:spacing w:before="240" w:after="360"/>
      </w:pPr>
      <w:r>
        <w:t>The nature and location of the alleged conduct,</w:t>
      </w:r>
    </w:p>
    <w:p w14:paraId="1D85B744" w14:textId="0F316532" w:rsidR="00221A80" w:rsidRDefault="00221A80" w:rsidP="006A64BD">
      <w:pPr>
        <w:pStyle w:val="ListParagraph"/>
        <w:numPr>
          <w:ilvl w:val="0"/>
          <w:numId w:val="55"/>
        </w:numPr>
        <w:spacing w:before="240" w:after="360"/>
      </w:pPr>
      <w:r>
        <w:t xml:space="preserve">NHSC’s relationship </w:t>
      </w:r>
      <w:r w:rsidR="008B7B21">
        <w:t>to</w:t>
      </w:r>
      <w:r>
        <w:t xml:space="preserve"> the complainant, and</w:t>
      </w:r>
    </w:p>
    <w:p w14:paraId="5FC0B74C" w14:textId="795670DF" w:rsidR="00221A80" w:rsidRDefault="00221A80" w:rsidP="006A64BD">
      <w:pPr>
        <w:pStyle w:val="ListParagraph"/>
        <w:numPr>
          <w:ilvl w:val="0"/>
          <w:numId w:val="55"/>
        </w:numPr>
        <w:spacing w:before="240" w:after="360"/>
      </w:pPr>
      <w:r>
        <w:t>NHSC’s relationship</w:t>
      </w:r>
      <w:r w:rsidR="008B7B21">
        <w:t xml:space="preserve"> to and level of control over the organization or person alleged to have engaged in the conduct.</w:t>
      </w:r>
    </w:p>
    <w:p w14:paraId="04A6DBA1" w14:textId="695A813D" w:rsidR="008B7B21" w:rsidRDefault="008B7B21" w:rsidP="008B7B21">
      <w:pPr>
        <w:spacing w:before="240" w:after="360"/>
      </w:pPr>
      <w:r>
        <w:lastRenderedPageBreak/>
        <w:t>The Title IX Officer will complete the inquiry</w:t>
      </w:r>
      <w:r w:rsidR="00A46728">
        <w:t xml:space="preserve"> promptly (typically within 60 days, unless extended for good cause), and notify the complainant of the outcome.</w:t>
      </w:r>
    </w:p>
    <w:p w14:paraId="02574F25" w14:textId="664CE32E" w:rsidR="00A46728" w:rsidRDefault="00B93C46" w:rsidP="008B7B21">
      <w:pPr>
        <w:spacing w:before="240" w:after="360"/>
        <w:rPr>
          <w:color w:val="0072C6" w:themeColor="accent1"/>
        </w:rPr>
      </w:pPr>
      <w:r>
        <w:rPr>
          <w:color w:val="0072C6" w:themeColor="accent1"/>
        </w:rPr>
        <w:t>Employee Grievance/Complaint Procedures</w:t>
      </w:r>
    </w:p>
    <w:p w14:paraId="555CD287" w14:textId="5BF3B56E" w:rsidR="00B93C46" w:rsidRDefault="007251A3" w:rsidP="008B7B21">
      <w:pPr>
        <w:spacing w:before="240" w:after="360"/>
      </w:pPr>
      <w:r>
        <w:t>Instead of, or in addition to, reporting to the Title IX Officer or other Responsible Employee, an NHSC may file a grievance or complaint.  That grie</w:t>
      </w:r>
      <w:r w:rsidR="005665C2">
        <w:t>vance must meet</w:t>
      </w:r>
      <w:r w:rsidR="005867D7">
        <w:t xml:space="preserve"> all of the requirements, including time limits for filing, under the applicable complaint resolution or grievance procedure.  Any such grievance or complaint will be forwarded to the Title IX Officer for processing, and the grievance or complaint may be reactivated under the applicable grievance or complaint procedure.</w:t>
      </w:r>
    </w:p>
    <w:p w14:paraId="7B70F0DD" w14:textId="410D1B7A" w:rsidR="005867D7" w:rsidRPr="00C92470" w:rsidRDefault="00650417" w:rsidP="00C92470">
      <w:pPr>
        <w:pStyle w:val="Heading2"/>
        <w:rPr>
          <w:rFonts w:asciiTheme="minorHAnsi" w:hAnsiTheme="minorHAnsi" w:cstheme="minorHAnsi"/>
          <w:sz w:val="24"/>
          <w:szCs w:val="24"/>
        </w:rPr>
      </w:pPr>
      <w:bookmarkStart w:id="54" w:name="_Toc209014406"/>
      <w:r w:rsidRPr="00C92470">
        <w:rPr>
          <w:rFonts w:asciiTheme="minorHAnsi" w:hAnsiTheme="minorHAnsi" w:cstheme="minorHAnsi"/>
          <w:sz w:val="24"/>
          <w:szCs w:val="24"/>
        </w:rPr>
        <w:t>10.11</w:t>
      </w:r>
      <w:r w:rsidRPr="00C92470">
        <w:rPr>
          <w:rFonts w:asciiTheme="minorHAnsi" w:hAnsiTheme="minorHAnsi" w:cstheme="minorHAnsi"/>
          <w:sz w:val="24"/>
          <w:szCs w:val="24"/>
        </w:rPr>
        <w:tab/>
        <w:t>ADJUDICATION AND SANCTIONING – EMPLOYEE RESPONDENTS</w:t>
      </w:r>
      <w:bookmarkEnd w:id="54"/>
    </w:p>
    <w:p w14:paraId="792EC8FF" w14:textId="5EF56E9C" w:rsidR="00650417" w:rsidRDefault="00650417" w:rsidP="008B7B21">
      <w:pPr>
        <w:spacing w:before="240" w:after="360"/>
      </w:pPr>
      <w:r>
        <w:t>The following is an outline of NHSC’s adjudication process and sanctioning for employee (staff and faculty) respondents.</w:t>
      </w:r>
    </w:p>
    <w:p w14:paraId="2AC363C8" w14:textId="72AA9A20" w:rsidR="00650417" w:rsidRDefault="00650417" w:rsidP="008B7B21">
      <w:pPr>
        <w:spacing w:before="240" w:after="360"/>
      </w:pPr>
      <w:r>
        <w:t>This section summarize</w:t>
      </w:r>
      <w:r w:rsidR="009C5750">
        <w:t xml:space="preserve">s information in the </w:t>
      </w:r>
      <w:r w:rsidR="009C5750" w:rsidRPr="009C5750">
        <w:rPr>
          <w:i/>
          <w:iCs/>
        </w:rPr>
        <w:t>SVSH</w:t>
      </w:r>
      <w:r w:rsidR="009C5750">
        <w:rPr>
          <w:i/>
          <w:iCs/>
        </w:rPr>
        <w:t xml:space="preserve"> </w:t>
      </w:r>
      <w:r w:rsidR="009C5750">
        <w:t>Investigation and Adjudication F</w:t>
      </w:r>
      <w:r w:rsidR="004747BA">
        <w:t>r</w:t>
      </w:r>
      <w:r w:rsidR="009C5750">
        <w:t>amework</w:t>
      </w:r>
      <w:r w:rsidR="004747BA">
        <w:t xml:space="preserve"> for Staff and Faculty Academic Personnel (</w:t>
      </w:r>
      <w:r w:rsidR="004747BA" w:rsidRPr="00A92ABA">
        <w:t>Staff Response Pr</w:t>
      </w:r>
      <w:r w:rsidR="00A92ABA">
        <w:t>ocedures), SVSH Investigation and Adjudication Framework</w:t>
      </w:r>
      <w:r w:rsidR="00D65D2E">
        <w:t xml:space="preserve"> </w:t>
      </w:r>
      <w:r w:rsidR="00600088">
        <w:t>for and</w:t>
      </w:r>
      <w:r w:rsidR="00D65D2E">
        <w:t xml:space="preserve"> Non- Faculty (Faculty Response Procedures), and other NHSC disciplinary policies for staff and faculty.  The Staff and Faculty Re</w:t>
      </w:r>
      <w:r w:rsidR="00F06929">
        <w:t>s</w:t>
      </w:r>
      <w:r w:rsidR="00D65D2E">
        <w:t>ponse</w:t>
      </w:r>
      <w:r w:rsidR="008B1C73">
        <w:t xml:space="preserve"> Procedures describe NHSC’s procedures for resolving both non-DOE-Covered</w:t>
      </w:r>
      <w:r w:rsidR="00F55AC1">
        <w:t xml:space="preserve"> Conduct and DOE-Covered Conduct.</w:t>
      </w:r>
    </w:p>
    <w:p w14:paraId="19EBBCB9" w14:textId="10BCC91C" w:rsidR="00F55AC1" w:rsidRDefault="00F55AC1" w:rsidP="008B7B21">
      <w:pPr>
        <w:spacing w:before="240" w:after="360"/>
        <w:rPr>
          <w:b/>
          <w:bCs/>
        </w:rPr>
      </w:pPr>
      <w:r>
        <w:rPr>
          <w:b/>
          <w:bCs/>
        </w:rPr>
        <w:t>Assessment and Consultation</w:t>
      </w:r>
    </w:p>
    <w:p w14:paraId="6E83CCDC" w14:textId="28A2F33C" w:rsidR="00F55AC1" w:rsidRDefault="00DE41D0" w:rsidP="008B7B21">
      <w:pPr>
        <w:spacing w:before="240" w:after="360"/>
      </w:pPr>
      <w:r>
        <w:t xml:space="preserve">At the conclusion of a Formal Investigation, the appropriate administrative authority will decide what action to take </w:t>
      </w:r>
      <w:r w:rsidR="001463D4">
        <w:t>in response to the findings of the Investigative Report.  The appropriate</w:t>
      </w:r>
      <w:r w:rsidR="007A1426">
        <w:t xml:space="preserve"> administrative authority may determine that additional investigation is </w:t>
      </w:r>
      <w:r w:rsidR="003B7B5E">
        <w:t>required to determine whether violations of other policies occurred</w:t>
      </w:r>
      <w:r w:rsidR="001806AE">
        <w:t xml:space="preserve"> but will not reinvestigate allegations of Prohibited Conduct investigated by Title IX.</w:t>
      </w:r>
    </w:p>
    <w:p w14:paraId="2ECCADA0" w14:textId="4B26A9E3" w:rsidR="001806AE" w:rsidRDefault="001806AE" w:rsidP="008B7B21">
      <w:pPr>
        <w:spacing w:before="240" w:after="360"/>
      </w:pPr>
      <w:r>
        <w:lastRenderedPageBreak/>
        <w:t>At the conclusion of a DOE Grievance Process investigation, the parties have the opportunity</w:t>
      </w:r>
      <w:r w:rsidR="000E63BD">
        <w:t xml:space="preserve"> to accept or not accept the preliminary determination.  When the preliminary determination is that the respondent engaged in DOE-Covered Conduct, or both DOE-Covered</w:t>
      </w:r>
      <w:r w:rsidR="00B718F6">
        <w:t xml:space="preserve"> Conduct and other Prohibited Conduct, the appropriate administrative authority will propose a resolution, in consultation with the appropriate office, as described below, and the parties will decide whether to accept the preliminary determination and the proposed resolution.</w:t>
      </w:r>
    </w:p>
    <w:p w14:paraId="37424ABD" w14:textId="1195B859" w:rsidR="00AC5CC4" w:rsidRDefault="00AC5CC4" w:rsidP="008B7B21">
      <w:pPr>
        <w:spacing w:before="240" w:after="360"/>
      </w:pPr>
      <w:r>
        <w:t>The appropriate administrative authority may consult with Title IX, Staff Human Resources, the Academic Personnel Office, or any other appropriate entities at any time during the decision-making process.</w:t>
      </w:r>
    </w:p>
    <w:p w14:paraId="7184A68C" w14:textId="46C92168" w:rsidR="00AC5CC4" w:rsidRDefault="00CE2CBB" w:rsidP="008B7B21">
      <w:pPr>
        <w:spacing w:before="240" w:after="360"/>
        <w:rPr>
          <w:color w:val="0072C6" w:themeColor="accent1"/>
        </w:rPr>
      </w:pPr>
      <w:r>
        <w:rPr>
          <w:color w:val="0072C6" w:themeColor="accent1"/>
        </w:rPr>
        <w:t>Opportunity to Respond</w:t>
      </w:r>
    </w:p>
    <w:p w14:paraId="399B866B" w14:textId="269469AA" w:rsidR="00CE2CBB" w:rsidRDefault="00CE2CBB" w:rsidP="008B7B21">
      <w:pPr>
        <w:spacing w:before="240" w:after="360"/>
      </w:pPr>
      <w:r>
        <w:t>The complainant and the respondent will have an opportunity to respond to the notice of investigation outcome and accompanying Investigative Report through an in-person meeting and/or a written statement submitted to the appropriate administrative authority.  The parties will have five (5) business days</w:t>
      </w:r>
      <w:r w:rsidR="0059157B">
        <w:t xml:space="preserve"> after Title IX sends the Investigative Report to respond.  The purpose of this response is not to challenge the factual findings in the </w:t>
      </w:r>
      <w:r w:rsidR="00135343">
        <w:t>I</w:t>
      </w:r>
      <w:r w:rsidR="0059157B">
        <w:t>nvestiga</w:t>
      </w:r>
      <w:r w:rsidR="002F42E7">
        <w:t>tive</w:t>
      </w:r>
      <w:r w:rsidR="00135343">
        <w:t xml:space="preserve"> Report or present new evidence, but to provide the complainant and the respondent with an opportunity to express their perspectives and address what outcome they wish to see.</w:t>
      </w:r>
    </w:p>
    <w:p w14:paraId="5AF49CAF" w14:textId="202E8AAC" w:rsidR="00135343" w:rsidRDefault="00135343" w:rsidP="008B7B21">
      <w:pPr>
        <w:spacing w:before="240" w:after="360"/>
        <w:rPr>
          <w:color w:val="0072C6" w:themeColor="accent1"/>
        </w:rPr>
      </w:pPr>
      <w:r>
        <w:rPr>
          <w:color w:val="0072C6" w:themeColor="accent1"/>
        </w:rPr>
        <w:t>Decision Proposal and Submission for Approval for Staff and Non-Faculty Ac</w:t>
      </w:r>
      <w:r w:rsidR="004B4E2E">
        <w:rPr>
          <w:color w:val="0072C6" w:themeColor="accent1"/>
        </w:rPr>
        <w:t>ademic Personnel</w:t>
      </w:r>
    </w:p>
    <w:p w14:paraId="490BCA4F" w14:textId="72E69F3E" w:rsidR="004B4E2E" w:rsidRDefault="00600088" w:rsidP="008B7B21">
      <w:pPr>
        <w:spacing w:before="240" w:after="360"/>
      </w:pPr>
      <w:r>
        <w:t>If</w:t>
      </w:r>
      <w:r w:rsidR="004B4E2E">
        <w:t xml:space="preserve"> an investigation determination (in a Formal Investigation)</w:t>
      </w:r>
      <w:r w:rsidR="00C52D51">
        <w:t xml:space="preserve"> or preliminary determines (in a DOE Grievance Process) that a staff or non-faculty academic personnel respondent is responsible for violating the </w:t>
      </w:r>
      <w:r w:rsidR="00EE1192">
        <w:rPr>
          <w:i/>
          <w:iCs/>
        </w:rPr>
        <w:t xml:space="preserve">NHSC SVSH Policy, </w:t>
      </w:r>
      <w:r w:rsidR="00EE1192">
        <w:t>the respondent’s supervisor or other appropriate administrative authority will propose a decision regarding how to resolve the matter.  The proposal must be submitted to the President’s designee for review and approval.</w:t>
      </w:r>
    </w:p>
    <w:p w14:paraId="064817AE" w14:textId="44D79896" w:rsidR="00EE1192" w:rsidRDefault="00EE1192" w:rsidP="008B7B21">
      <w:pPr>
        <w:spacing w:before="240" w:after="360"/>
      </w:pPr>
      <w:r>
        <w:t>In the event the President</w:t>
      </w:r>
      <w:r w:rsidR="00C37C41">
        <w:t xml:space="preserve">’s designee does not approve the proposed decision, they will send it back to the supervisor or other appropriate administrative authority for reconsideration and </w:t>
      </w:r>
      <w:r w:rsidR="00C37C41">
        <w:lastRenderedPageBreak/>
        <w:t>submission of a revised proposed decision.  In</w:t>
      </w:r>
      <w:r w:rsidR="00F33F59">
        <w:t xml:space="preserve"> the event the President’s designee approves the proposed decision</w:t>
      </w:r>
      <w:r w:rsidR="000D672B">
        <w:t>, they will inform the supervisor or other appropriate administrative authority who will take steps to implement (in a Formal Investigation)</w:t>
      </w:r>
      <w:r w:rsidR="00916075">
        <w:t xml:space="preserve"> or inform Title IX and Staff Human Resources or the Academic Personnel Office (in a DOE Grievance Process), the approved decision.</w:t>
      </w:r>
    </w:p>
    <w:p w14:paraId="56B4613D" w14:textId="1CE029C5" w:rsidR="00916075" w:rsidRDefault="00916075" w:rsidP="008B7B21">
      <w:pPr>
        <w:spacing w:before="240" w:after="360"/>
      </w:pPr>
      <w:r>
        <w:t>This proposal and approval</w:t>
      </w:r>
      <w:r w:rsidR="00EF0C56">
        <w:t xml:space="preserve"> process will occur in all cases where the investigation has determined or preliminarily determined the respondent violated the </w:t>
      </w:r>
      <w:r w:rsidR="00EF0C56">
        <w:rPr>
          <w:i/>
          <w:iCs/>
        </w:rPr>
        <w:t>NHSC SVSH Policy</w:t>
      </w:r>
      <w:r w:rsidR="00F2580C">
        <w:t xml:space="preserve">.  Staff Human Resources </w:t>
      </w:r>
      <w:r w:rsidR="0093447A">
        <w:t>and</w:t>
      </w:r>
      <w:r w:rsidR="00F2580C">
        <w:t xml:space="preserve"> the Academic Personnel Office will be consulted throughout the process.  Additionally, </w:t>
      </w:r>
      <w:r w:rsidR="00093E26">
        <w:t>the President’s designee will consult with NHSC</w:t>
      </w:r>
      <w:r w:rsidR="00030207">
        <w:t xml:space="preserve"> Title IX </w:t>
      </w:r>
      <w:r w:rsidR="00D01EBC">
        <w:t>Officer on the app</w:t>
      </w:r>
      <w:r w:rsidR="00F54484">
        <w:t>ro</w:t>
      </w:r>
      <w:r w:rsidR="006269CC">
        <w:t>priateness of the proposed discipline before approving or disapproving it.</w:t>
      </w:r>
    </w:p>
    <w:p w14:paraId="2403DFEF" w14:textId="29670ADC" w:rsidR="002F72E8" w:rsidRDefault="00DE5CB0" w:rsidP="008B7B21">
      <w:pPr>
        <w:spacing w:before="240" w:after="360"/>
        <w:rPr>
          <w:color w:val="0072C6" w:themeColor="accent1"/>
        </w:rPr>
      </w:pPr>
      <w:r>
        <w:rPr>
          <w:color w:val="0072C6" w:themeColor="accent1"/>
        </w:rPr>
        <w:t xml:space="preserve">Title IX Officer Consultation for </w:t>
      </w:r>
      <w:r w:rsidR="00CE0619">
        <w:rPr>
          <w:color w:val="0072C6" w:themeColor="accent1"/>
        </w:rPr>
        <w:t>Employees</w:t>
      </w:r>
    </w:p>
    <w:p w14:paraId="1443F79F" w14:textId="24B8AA3B" w:rsidR="00DE5CB0" w:rsidRDefault="00DE5CB0" w:rsidP="008B7B21">
      <w:pPr>
        <w:spacing w:before="240" w:after="360"/>
      </w:pPr>
      <w:r>
        <w:t>In all cases where the investigation determines</w:t>
      </w:r>
      <w:r w:rsidR="008301D5">
        <w:t xml:space="preserve"> or preliminarily determines</w:t>
      </w:r>
      <w:r w:rsidR="00632438">
        <w:t xml:space="preserve"> or preliminarily determines that a </w:t>
      </w:r>
      <w:r w:rsidR="001B221C">
        <w:t>staff</w:t>
      </w:r>
      <w:r w:rsidR="00632438">
        <w:t xml:space="preserve"> or faculty respondent is responsible for violating the </w:t>
      </w:r>
      <w:r w:rsidR="00632438">
        <w:rPr>
          <w:i/>
          <w:iCs/>
        </w:rPr>
        <w:t xml:space="preserve">NHSC SVSH Policy, </w:t>
      </w:r>
      <w:r w:rsidR="00632438">
        <w:t>the President or President’s designee will consult with the campus Title IX Officer on how to resolve the matter, including the appropriate discipline or other corrective measures.</w:t>
      </w:r>
    </w:p>
    <w:p w14:paraId="68F32B37" w14:textId="5B97AEEB" w:rsidR="00632438" w:rsidRDefault="00632438" w:rsidP="008B7B21">
      <w:pPr>
        <w:spacing w:before="240" w:after="360"/>
        <w:rPr>
          <w:b/>
          <w:bCs/>
        </w:rPr>
      </w:pPr>
      <w:r>
        <w:rPr>
          <w:b/>
          <w:bCs/>
        </w:rPr>
        <w:t>DOE Grievance Process – Hearing and Appeal</w:t>
      </w:r>
    </w:p>
    <w:p w14:paraId="651E4B8E" w14:textId="4525DA0E" w:rsidR="00632438" w:rsidRDefault="00632438" w:rsidP="008B7B21">
      <w:pPr>
        <w:spacing w:before="240" w:after="360"/>
      </w:pPr>
      <w:r>
        <w:t>The DOE Grievance Process may include a fact-finding hearing and option the hearing officer’s finding.</w:t>
      </w:r>
    </w:p>
    <w:p w14:paraId="582B145E" w14:textId="2B799A1B" w:rsidR="00632438" w:rsidRDefault="00632438" w:rsidP="008B7B21">
      <w:pPr>
        <w:spacing w:before="240" w:after="360"/>
      </w:pPr>
      <w:r>
        <w:t>After the assessment and consultation described above, the appropriate administrative authority will inform Staff Human</w:t>
      </w:r>
      <w:r w:rsidR="00522C76">
        <w:t xml:space="preserve"> Resources or the Academic Personnel Office, and Title IX Officer, of the proposed decision and its rationale, and the Staff Human Resources, Academic Personnel Office, or the Title IX Officer (whichever the campus designates) will notify the parties.  The parties will receive this notice within 15 business days of the notice of investigative findings and preliminary determination.</w:t>
      </w:r>
    </w:p>
    <w:p w14:paraId="7319C390" w14:textId="6E980856" w:rsidR="00522C76" w:rsidRDefault="00522C76" w:rsidP="008B7B21">
      <w:pPr>
        <w:spacing w:before="240" w:after="360"/>
      </w:pPr>
      <w:r>
        <w:lastRenderedPageBreak/>
        <w:t xml:space="preserve">Unless both parties accept the preliminary determination and proposed resolution, there will be a fact-finding hearing to determine whether the </w:t>
      </w:r>
      <w:r>
        <w:rPr>
          <w:i/>
          <w:iCs/>
        </w:rPr>
        <w:t>NHSC SVSH Policy</w:t>
      </w:r>
      <w:r>
        <w:t xml:space="preserve"> was violated.</w:t>
      </w:r>
    </w:p>
    <w:p w14:paraId="5984C4B3" w14:textId="2EA08AFF" w:rsidR="00522C76" w:rsidRDefault="00522C76" w:rsidP="008B7B21">
      <w:pPr>
        <w:spacing w:before="240" w:after="360"/>
      </w:pPr>
      <w:r>
        <w:t xml:space="preserve">See Section IV of the DOE Addendum to the Staff or Faculty Response </w:t>
      </w:r>
      <w:r w:rsidR="001C7137">
        <w:t>Procedures for details regarding this stage of the process.</w:t>
      </w:r>
    </w:p>
    <w:p w14:paraId="600123F0" w14:textId="1B69B32F" w:rsidR="001C7137" w:rsidRDefault="001C7137" w:rsidP="008B7B21">
      <w:pPr>
        <w:spacing w:before="240" w:after="360"/>
        <w:rPr>
          <w:color w:val="0072C6" w:themeColor="accent1"/>
        </w:rPr>
      </w:pPr>
      <w:r>
        <w:rPr>
          <w:color w:val="0072C6" w:themeColor="accent1"/>
        </w:rPr>
        <w:t>Opportunity to Accept the Preliminary Determination</w:t>
      </w:r>
    </w:p>
    <w:p w14:paraId="410BC58D" w14:textId="3AF68017" w:rsidR="001C7137" w:rsidRDefault="001C7137" w:rsidP="008B7B21">
      <w:pPr>
        <w:spacing w:before="240" w:after="360"/>
      </w:pPr>
      <w:r>
        <w:t>Either party may accept the preliminary determination and proposed resolution with 20 business days of the notice of investigative findings and preliminary determination.  Unless both parties accept the preliminary determination and proposed resolution within this time period, then the matter will proceed to a hearing to determine if a policy violation occurred.  If both parties provide written acknowledgement that they accept the preliminary determination and proposed resolution during the 20 business days, then the preliminary determination regarding policy v</w:t>
      </w:r>
      <w:r w:rsidR="0043504C">
        <w:t xml:space="preserve">iolation(s) becomes final, and the appropriate administrative authority will impose the proposed resolution, including </w:t>
      </w:r>
      <w:r w:rsidR="00FD0BD0">
        <w:t>a</w:t>
      </w:r>
      <w:r w:rsidR="0043504C">
        <w:t xml:space="preserve"> discipline or corrective measures.</w:t>
      </w:r>
    </w:p>
    <w:p w14:paraId="0A924C28" w14:textId="49ED3B1B" w:rsidR="0043504C" w:rsidRDefault="0043504C" w:rsidP="008B7B21">
      <w:pPr>
        <w:spacing w:before="240" w:after="360"/>
        <w:rPr>
          <w:color w:val="0072C6" w:themeColor="accent1"/>
        </w:rPr>
      </w:pPr>
      <w:r>
        <w:rPr>
          <w:color w:val="0072C6" w:themeColor="accent1"/>
        </w:rPr>
        <w:t>Hearing Procedures</w:t>
      </w:r>
    </w:p>
    <w:p w14:paraId="2D015DCA" w14:textId="44C50462" w:rsidR="0043504C" w:rsidRDefault="0043504C" w:rsidP="008B7B21">
      <w:pPr>
        <w:spacing w:before="240" w:after="360"/>
      </w:pPr>
      <w:r>
        <w:t xml:space="preserve">Unless both parties accept the preliminary determination and proposed resolution, there will be a fact-finding hearing before a single hearing officer (not the Title IX Officer) to determine whether the </w:t>
      </w:r>
      <w:r>
        <w:rPr>
          <w:i/>
          <w:iCs/>
        </w:rPr>
        <w:t>NHSC SVSH Policy</w:t>
      </w:r>
      <w:r>
        <w:t xml:space="preserve"> was violated.  NHSC’s role in the hearing is neutral.  NHSC will consider the relevant evidence available, including relevant evidence </w:t>
      </w:r>
      <w:r w:rsidR="00F2623F">
        <w:t>presented</w:t>
      </w:r>
      <w:r>
        <w:t xml:space="preserve"> by the parties</w:t>
      </w:r>
      <w:r w:rsidR="00F2623F">
        <w:t>, in order to make factual findings and determine whether a policy violation occurred.</w:t>
      </w:r>
    </w:p>
    <w:p w14:paraId="5545F19A" w14:textId="098C759D" w:rsidR="00F2623F" w:rsidRDefault="00F2623F" w:rsidP="008B7B21">
      <w:pPr>
        <w:spacing w:before="240" w:after="360"/>
        <w:rPr>
          <w:color w:val="0072C6" w:themeColor="accent1"/>
        </w:rPr>
      </w:pPr>
      <w:r>
        <w:rPr>
          <w:color w:val="0072C6" w:themeColor="accent1"/>
        </w:rPr>
        <w:t>Notice of Determination</w:t>
      </w:r>
    </w:p>
    <w:p w14:paraId="0BE3F325" w14:textId="3D819BB2" w:rsidR="00424284" w:rsidRPr="001B221C" w:rsidRDefault="00F2623F" w:rsidP="008B7B21">
      <w:pPr>
        <w:spacing w:before="240" w:after="360"/>
      </w:pPr>
      <w:r>
        <w:t xml:space="preserve">Within 15 business days of the hearing, the complainant and respondent will be sent written notice setting forth the hearing officer’s determination on whether the </w:t>
      </w:r>
      <w:r>
        <w:rPr>
          <w:i/>
          <w:iCs/>
        </w:rPr>
        <w:t>NHSC SVSH Policy</w:t>
      </w:r>
      <w:r>
        <w:t xml:space="preserve"> has been violated.</w:t>
      </w:r>
    </w:p>
    <w:p w14:paraId="3879D5B7" w14:textId="33BA4488" w:rsidR="00F2623F" w:rsidRDefault="00F2623F" w:rsidP="008B7B21">
      <w:pPr>
        <w:spacing w:before="240" w:after="360"/>
        <w:rPr>
          <w:color w:val="0072C6" w:themeColor="accent1"/>
        </w:rPr>
      </w:pPr>
      <w:r>
        <w:rPr>
          <w:color w:val="0072C6" w:themeColor="accent1"/>
        </w:rPr>
        <w:lastRenderedPageBreak/>
        <w:t>Appeal Process</w:t>
      </w:r>
    </w:p>
    <w:p w14:paraId="05966C9C" w14:textId="17D55F9F" w:rsidR="00F2623F" w:rsidRDefault="00F2623F" w:rsidP="008B7B21">
      <w:pPr>
        <w:spacing w:before="240" w:after="360"/>
      </w:pPr>
      <w:r>
        <w:t xml:space="preserve">The complainant and respondent have an equal opportunity to </w:t>
      </w:r>
      <w:r w:rsidR="0093447A">
        <w:t>appeal against</w:t>
      </w:r>
      <w:r>
        <w:t xml:space="preserve"> the policy violation determination(s) and any sanction(s).  NHSC administers the appeal process but is not a party and does not advocate for or against any appeal.</w:t>
      </w:r>
    </w:p>
    <w:p w14:paraId="35373025" w14:textId="69669126" w:rsidR="00F2623F" w:rsidRDefault="00F7596E" w:rsidP="008B7B21">
      <w:pPr>
        <w:spacing w:before="240" w:after="360"/>
      </w:pPr>
      <w:r>
        <w:t xml:space="preserve">An appeal must be submitted within 10 business days following issuance of the notice of the hearing officer’s determination.  The appeal must identify the ground(s) for appeal </w:t>
      </w:r>
      <w:r w:rsidR="00902387">
        <w:t xml:space="preserve">and </w:t>
      </w:r>
      <w:r>
        <w:t>contain</w:t>
      </w:r>
      <w:r w:rsidR="00902387">
        <w:t xml:space="preserve"> specific arguments supporting each ground for appeal.  The Title IX Officer will notify the other party of the basis for the appeal and that </w:t>
      </w:r>
      <w:r w:rsidR="00B3443D">
        <w:t>the other party can submit a written statement in response to the appeal within 3 business days and supporting documentation from the other party as appropriate.</w:t>
      </w:r>
    </w:p>
    <w:p w14:paraId="1EDB5040" w14:textId="740DDC6B" w:rsidR="00B3443D" w:rsidRDefault="00B3443D" w:rsidP="008B7B21">
      <w:pPr>
        <w:spacing w:before="240" w:after="360"/>
      </w:pPr>
      <w:r>
        <w:t>Within 10 business days of receiving the appeal, the appeal officer will send their written decision to the complainant and respondent.  Unless the hearing officer remands the matter to the hearing officer, the matter is closed at this point, with no further right to appeal.  If the appeal</w:t>
      </w:r>
      <w:r w:rsidR="00503453">
        <w:t xml:space="preserve"> officer remands the matter to the hearing officer, they will issue their decision </w:t>
      </w:r>
      <w:r w:rsidR="0093447A">
        <w:t>within 10</w:t>
      </w:r>
      <w:r w:rsidR="00503453">
        <w:t xml:space="preserve"> business days of receiving the hearing officer’s additional factual findings; this decision will be final.</w:t>
      </w:r>
    </w:p>
    <w:p w14:paraId="20F06FA9" w14:textId="26BBD4D2" w:rsidR="00503453" w:rsidRDefault="00503453" w:rsidP="008B7B21">
      <w:pPr>
        <w:spacing w:before="240" w:after="360"/>
        <w:rPr>
          <w:color w:val="0072C6" w:themeColor="accent1"/>
        </w:rPr>
      </w:pPr>
      <w:r>
        <w:rPr>
          <w:color w:val="0072C6" w:themeColor="accent1"/>
        </w:rPr>
        <w:t xml:space="preserve">Additional Assessment and Consultation for </w:t>
      </w:r>
      <w:r w:rsidR="009929BF">
        <w:rPr>
          <w:color w:val="0072C6" w:themeColor="accent1"/>
        </w:rPr>
        <w:t>Employees</w:t>
      </w:r>
    </w:p>
    <w:p w14:paraId="3880AB39" w14:textId="3788E16A" w:rsidR="00503453" w:rsidRDefault="00503453" w:rsidP="008B7B21">
      <w:pPr>
        <w:spacing w:before="240" w:after="360"/>
      </w:pPr>
      <w:r>
        <w:t>Once any appeal is final or the period for submitting an appeal has lapsed, the Title IX Officer will send the final findings</w:t>
      </w:r>
      <w:r w:rsidR="00CA6A58">
        <w:t xml:space="preserve"> </w:t>
      </w:r>
      <w:r w:rsidR="00611704">
        <w:t>and determination to the respondent’s supervisor appropriate administrative authority, with a summary explanation of any difference between the investigator</w:t>
      </w:r>
      <w:r w:rsidR="0063658F">
        <w:t>’s preliminary determination and the final determination and findings.</w:t>
      </w:r>
    </w:p>
    <w:p w14:paraId="3D0B7F68" w14:textId="699A6433" w:rsidR="0063658F" w:rsidRDefault="0063658F" w:rsidP="008B7B21">
      <w:pPr>
        <w:spacing w:before="240" w:after="360"/>
      </w:pPr>
      <w:r>
        <w:t>The respondent’ supervisor or appropriate administrative authority has the</w:t>
      </w:r>
      <w:r w:rsidR="00E00D1F">
        <w:t xml:space="preserve"> authority and responsibility to propose and implement any responsive action.  They may determine that additional investigation is required</w:t>
      </w:r>
      <w:r w:rsidR="00A96DAE">
        <w:t xml:space="preserve"> to determine whether violations of other policies occurred but will not reconsider the findings and determinations re</w:t>
      </w:r>
      <w:r w:rsidR="005420D4">
        <w:t>g</w:t>
      </w:r>
      <w:r w:rsidR="00A96DAE">
        <w:t xml:space="preserve">arding </w:t>
      </w:r>
      <w:r w:rsidR="003B717E">
        <w:rPr>
          <w:i/>
          <w:iCs/>
        </w:rPr>
        <w:t>NHSC SVSH Policy</w:t>
      </w:r>
      <w:r w:rsidR="003B717E">
        <w:t xml:space="preserve"> violations made through the hearing and any appeal.  If the hearing results in a finding that a respondent </w:t>
      </w:r>
      <w:r w:rsidR="003B717E">
        <w:lastRenderedPageBreak/>
        <w:t xml:space="preserve">is responsible for violating the </w:t>
      </w:r>
      <w:r w:rsidR="003B717E">
        <w:rPr>
          <w:i/>
          <w:iCs/>
        </w:rPr>
        <w:t>NHSC SVSH Policy</w:t>
      </w:r>
      <w:r w:rsidR="00240A98">
        <w:rPr>
          <w:i/>
          <w:iCs/>
        </w:rPr>
        <w:t xml:space="preserve">, </w:t>
      </w:r>
      <w:r w:rsidR="00240A98">
        <w:t>then the respondent’s supervisor or other appropriate administrative authority will, if they did not already do so, consult with the Title IX</w:t>
      </w:r>
      <w:r w:rsidR="004A21AC">
        <w:t xml:space="preserve"> Officer.</w:t>
      </w:r>
    </w:p>
    <w:p w14:paraId="006C7962" w14:textId="597CC8E0" w:rsidR="004A21AC" w:rsidRDefault="004A21AC" w:rsidP="008B7B21">
      <w:pPr>
        <w:spacing w:before="240" w:after="360"/>
      </w:pPr>
      <w:r>
        <w:t xml:space="preserve">The </w:t>
      </w:r>
      <w:r w:rsidR="00044421">
        <w:t>r</w:t>
      </w:r>
      <w:r>
        <w:t xml:space="preserve">espondent’s supervisor or other </w:t>
      </w:r>
      <w:r w:rsidR="00666609">
        <w:t>appropriate ad</w:t>
      </w:r>
      <w:r w:rsidR="008C6428">
        <w:t>ministrative authority will propose a decision regarding how to resolve the matter.  The proposal must be submitted to the President’s designee for review and approval.  In the event the Present’s designee</w:t>
      </w:r>
      <w:r w:rsidR="00FA31C9">
        <w:t xml:space="preserve"> does not approve the proposed decision, they will send it back to the supervisor or other appropriate administrative authority for reconsideration and submission of a revised proposed decision.  In the event the President’s </w:t>
      </w:r>
      <w:r w:rsidR="003F0AF4">
        <w:t>designee approves the proposal decision, they will inform the supervisor or other appropriate administrative authority who will take steps to implement the approved decision.</w:t>
      </w:r>
    </w:p>
    <w:p w14:paraId="39905914" w14:textId="5CD0910E" w:rsidR="00F75D1F" w:rsidRDefault="00F75D1F" w:rsidP="008B7B21">
      <w:pPr>
        <w:spacing w:before="240" w:after="360"/>
      </w:pPr>
      <w:r>
        <w:t xml:space="preserve">Staff Human Resources </w:t>
      </w:r>
      <w:r w:rsidR="0093447A">
        <w:t>and</w:t>
      </w:r>
      <w:r>
        <w:t xml:space="preserve"> the Academic Personnel Office will be consulted throughout the process.  Additionally, the President’s designee will consult with the campus Title IX Officer on the appropriateness of the proposed decision before approving or disapproving it.</w:t>
      </w:r>
    </w:p>
    <w:p w14:paraId="7A221E58" w14:textId="55CF50FD" w:rsidR="008F4706" w:rsidRDefault="008F4706" w:rsidP="008B7B21">
      <w:pPr>
        <w:spacing w:before="240" w:after="360"/>
        <w:rPr>
          <w:b/>
          <w:bCs/>
        </w:rPr>
      </w:pPr>
      <w:r>
        <w:rPr>
          <w:b/>
          <w:bCs/>
        </w:rPr>
        <w:t>Corrective or Other Actions for Staff and Faculty Academic Personnel</w:t>
      </w:r>
    </w:p>
    <w:p w14:paraId="044B101A" w14:textId="0D62E343" w:rsidR="00867150" w:rsidRDefault="008F4706" w:rsidP="008B7B21">
      <w:pPr>
        <w:spacing w:before="240" w:after="360"/>
      </w:pPr>
      <w:r>
        <w:t xml:space="preserve">The below provisions apply when a staff or faculty academic personnel respondent is found in violation of the </w:t>
      </w:r>
      <w:r>
        <w:rPr>
          <w:i/>
          <w:iCs/>
        </w:rPr>
        <w:t>NHSC SVSH Policy</w:t>
      </w:r>
      <w:r w:rsidR="003333E0">
        <w:rPr>
          <w:i/>
          <w:iCs/>
        </w:rPr>
        <w:t xml:space="preserve"> </w:t>
      </w:r>
      <w:r w:rsidR="003333E0">
        <w:t>following a Formal Investigation or following a hearing and any appeal in a DOE Grievance Process</w:t>
      </w:r>
      <w:r w:rsidR="00867150">
        <w:t>.</w:t>
      </w:r>
    </w:p>
    <w:p w14:paraId="1B38F643" w14:textId="10CDC96C" w:rsidR="00E85CCB" w:rsidRDefault="00867150" w:rsidP="008B7B21">
      <w:pPr>
        <w:spacing w:before="240" w:after="360"/>
        <w:rPr>
          <w:color w:val="0072C6" w:themeColor="accent1"/>
        </w:rPr>
      </w:pPr>
      <w:r>
        <w:rPr>
          <w:color w:val="0072C6" w:themeColor="accent1"/>
        </w:rPr>
        <w:t xml:space="preserve">Decision Approval and Implementation for Personnel Policy for </w:t>
      </w:r>
      <w:r w:rsidR="004F5F3A" w:rsidRPr="001450EB">
        <w:rPr>
          <w:color w:val="0072C6" w:themeColor="accent1"/>
        </w:rPr>
        <w:t>Employee</w:t>
      </w:r>
      <w:r w:rsidR="000B5CB3">
        <w:rPr>
          <w:color w:val="0072C6" w:themeColor="accent1"/>
        </w:rPr>
        <w:t xml:space="preserve"> </w:t>
      </w:r>
      <w:r>
        <w:rPr>
          <w:color w:val="0072C6" w:themeColor="accent1"/>
        </w:rPr>
        <w:t xml:space="preserve">Members </w:t>
      </w:r>
    </w:p>
    <w:p w14:paraId="540213E9" w14:textId="5D03D1B8" w:rsidR="00D332E7" w:rsidRDefault="00E85CCB" w:rsidP="008B7B21">
      <w:pPr>
        <w:spacing w:before="240" w:after="360"/>
      </w:pPr>
      <w:r>
        <w:t>Following approval by the President’s designee (in a Formal Investigation)</w:t>
      </w:r>
      <w:r w:rsidR="00784C5E">
        <w:t xml:space="preserve"> or final adjudication (in a DOE Grievance Process),</w:t>
      </w:r>
      <w:r w:rsidR="006562F0">
        <w:t xml:space="preserve"> </w:t>
      </w:r>
      <w:r w:rsidR="00D34225">
        <w:t>the respondent’s supervisor will implement the approved dec</w:t>
      </w:r>
      <w:r w:rsidR="003D0BC4">
        <w:t>i</w:t>
      </w:r>
      <w:r w:rsidR="00D34225">
        <w:t>sion</w:t>
      </w:r>
      <w:r w:rsidR="003D0BC4">
        <w:t>.</w:t>
      </w:r>
    </w:p>
    <w:p w14:paraId="42B14EA8" w14:textId="42F38ED5" w:rsidR="003D0BC4" w:rsidRDefault="003D0BC4" w:rsidP="008B7B21">
      <w:pPr>
        <w:spacing w:before="240" w:after="360"/>
      </w:pPr>
      <w:r>
        <w:rPr>
          <w:b/>
          <w:bCs/>
        </w:rPr>
        <w:t xml:space="preserve">No Further Action: </w:t>
      </w:r>
      <w:r w:rsidR="004B6838">
        <w:t>The supervisor may propose corrective or remedial actions that do not amount to corrective action or termination.  The proposed action will be reviewed</w:t>
      </w:r>
      <w:r w:rsidR="00370FDD">
        <w:t xml:space="preserve"> by the President’s designee for approval.</w:t>
      </w:r>
    </w:p>
    <w:p w14:paraId="0E6C5227" w14:textId="14BB6AA8" w:rsidR="00370FDD" w:rsidRDefault="00370FDD" w:rsidP="008B7B21">
      <w:pPr>
        <w:spacing w:before="240" w:after="360"/>
      </w:pPr>
      <w:r>
        <w:rPr>
          <w:b/>
          <w:bCs/>
        </w:rPr>
        <w:lastRenderedPageBreak/>
        <w:t xml:space="preserve">Action Not Requiring Notice of Intent: </w:t>
      </w:r>
      <w:r w:rsidR="00FC568C">
        <w:t xml:space="preserve">The supervisor may propose </w:t>
      </w:r>
      <w:r w:rsidR="000E0C27">
        <w:t>corrective</w:t>
      </w:r>
      <w:r w:rsidR="000109D4">
        <w:t xml:space="preserve"> or remedial actions that do not amount to corrective action or termination</w:t>
      </w:r>
      <w:r w:rsidR="00FC568C">
        <w:t>.  Th</w:t>
      </w:r>
      <w:r w:rsidR="00B91D4C">
        <w:t>e</w:t>
      </w:r>
      <w:r w:rsidR="00FC568C">
        <w:t xml:space="preserve"> propos</w:t>
      </w:r>
      <w:r w:rsidR="00B91D4C">
        <w:t>ed</w:t>
      </w:r>
      <w:r w:rsidR="000109D4">
        <w:t xml:space="preserve"> actions will be reviewed by the President’s designee</w:t>
      </w:r>
      <w:r w:rsidR="002C43EF">
        <w:t xml:space="preserve"> for approval.</w:t>
      </w:r>
    </w:p>
    <w:p w14:paraId="2E710D72" w14:textId="74F76A5F" w:rsidR="002C43EF" w:rsidRDefault="002C43EF" w:rsidP="008B7B21">
      <w:pPr>
        <w:spacing w:before="240" w:after="360"/>
      </w:pPr>
      <w:r>
        <w:rPr>
          <w:b/>
          <w:bCs/>
        </w:rPr>
        <w:t xml:space="preserve">Notice of Intent: </w:t>
      </w:r>
      <w:r>
        <w:t>The supervisor</w:t>
      </w:r>
      <w:r w:rsidR="00697B73">
        <w:t xml:space="preserve"> may propose to issue a notice of intent to institute corrective action or notice of intent to terminate.  The proposed terms of the notice of intent will be reviewed by the President’s designee for approval.  In the event it is approved, the decision will be implemented by t</w:t>
      </w:r>
      <w:r w:rsidR="00442D8F">
        <w:t>he supervisor and the notice of intent</w:t>
      </w:r>
      <w:r w:rsidR="003C409A">
        <w:t xml:space="preserve"> will be issued.  Following the provision of a notice of intent, corrective action will be taken and/or actions to terminate will be taken.</w:t>
      </w:r>
    </w:p>
    <w:p w14:paraId="0B127038" w14:textId="30F01888" w:rsidR="00013B56" w:rsidRDefault="00685D53" w:rsidP="008B7B21">
      <w:pPr>
        <w:spacing w:before="240" w:after="360"/>
        <w:rPr>
          <w:color w:val="0072C6" w:themeColor="accent1"/>
        </w:rPr>
      </w:pPr>
      <w:r>
        <w:rPr>
          <w:color w:val="0072C6" w:themeColor="accent1"/>
        </w:rPr>
        <w:t>Timeframe for Implementation of Decision; Extension for Good Cause</w:t>
      </w:r>
    </w:p>
    <w:p w14:paraId="76E41A92" w14:textId="19C4EE41" w:rsidR="00685D53" w:rsidRDefault="00685D53" w:rsidP="008B7B21">
      <w:pPr>
        <w:spacing w:before="240" w:after="360"/>
      </w:pPr>
      <w:r>
        <w:t>The supervisor or other appropriate administrative authority should implement their approved decision promptly, typically within fo</w:t>
      </w:r>
      <w:r w:rsidR="0080712D">
        <w:t>r</w:t>
      </w:r>
      <w:r w:rsidR="00C66BF1">
        <w:t>ty (40) business days</w:t>
      </w:r>
      <w:r w:rsidR="002E5C34">
        <w:t xml:space="preserve"> of receipt of the notice of investigation outcome and accompanying</w:t>
      </w:r>
      <w:r w:rsidR="00BE38F2">
        <w:t xml:space="preserve"> Investigative Report.  If the matter has not been otherwise resolved within forty (40) business days, a notice of intent will be issued.  Extensions to this timeline may be granted by the President’s designee for good cause with written notice to the complainant and the respondent stating the reason for the extension and the projected new timeline.</w:t>
      </w:r>
    </w:p>
    <w:p w14:paraId="7B96A964" w14:textId="43CFD124" w:rsidR="00BE38F2" w:rsidRDefault="00E061B5" w:rsidP="008B7B21">
      <w:pPr>
        <w:spacing w:before="240" w:after="360"/>
        <w:rPr>
          <w:color w:val="0072C6" w:themeColor="accent1"/>
        </w:rPr>
      </w:pPr>
      <w:r>
        <w:rPr>
          <w:color w:val="0072C6" w:themeColor="accent1"/>
        </w:rPr>
        <w:t>Process Following Action Taken</w:t>
      </w:r>
    </w:p>
    <w:p w14:paraId="432E8901" w14:textId="5A26E799" w:rsidR="00E061B5" w:rsidRDefault="00600088" w:rsidP="008B7B21">
      <w:pPr>
        <w:spacing w:before="240" w:after="360"/>
      </w:pPr>
      <w:r>
        <w:t>If</w:t>
      </w:r>
      <w:r w:rsidR="00E061B5">
        <w:t xml:space="preserve"> a respondent submits a </w:t>
      </w:r>
      <w:r w:rsidR="00FD0BD0">
        <w:t>complaint,</w:t>
      </w:r>
      <w:r w:rsidR="00E061B5">
        <w:t xml:space="preserve"> or a faculty academic appointee respondent submits a grievance, the President’s designee will ensure that both the complainant and the respondent receive updates regarding the status of the complaint or grievance.  The complainant may follow processes appropriate to their own personnel or student policies.</w:t>
      </w:r>
    </w:p>
    <w:p w14:paraId="22E1B235" w14:textId="77777777" w:rsidR="00600088" w:rsidRDefault="00600088" w:rsidP="008B7B21">
      <w:pPr>
        <w:spacing w:before="240" w:after="360"/>
        <w:rPr>
          <w:b/>
          <w:bCs/>
        </w:rPr>
      </w:pPr>
    </w:p>
    <w:p w14:paraId="5653EE70" w14:textId="77777777" w:rsidR="00600088" w:rsidRDefault="00600088" w:rsidP="008B7B21">
      <w:pPr>
        <w:spacing w:before="240" w:after="360"/>
        <w:rPr>
          <w:b/>
          <w:bCs/>
        </w:rPr>
      </w:pPr>
    </w:p>
    <w:p w14:paraId="0DA77EA1" w14:textId="477E60CA" w:rsidR="00E061B5" w:rsidRDefault="00E061B5" w:rsidP="008B7B21">
      <w:pPr>
        <w:spacing w:before="240" w:after="360"/>
        <w:rPr>
          <w:b/>
          <w:bCs/>
        </w:rPr>
      </w:pPr>
      <w:r>
        <w:rPr>
          <w:b/>
          <w:bCs/>
        </w:rPr>
        <w:lastRenderedPageBreak/>
        <w:t xml:space="preserve">Decision on Sanctions for </w:t>
      </w:r>
      <w:r w:rsidR="006160C4">
        <w:rPr>
          <w:b/>
          <w:bCs/>
        </w:rPr>
        <w:t>E</w:t>
      </w:r>
      <w:r w:rsidR="00FD0481">
        <w:rPr>
          <w:b/>
          <w:bCs/>
        </w:rPr>
        <w:t>mp</w:t>
      </w:r>
      <w:r w:rsidR="006160C4">
        <w:rPr>
          <w:b/>
          <w:bCs/>
        </w:rPr>
        <w:t>l</w:t>
      </w:r>
      <w:r w:rsidR="00FD0481">
        <w:rPr>
          <w:b/>
          <w:bCs/>
        </w:rPr>
        <w:t>oyees</w:t>
      </w:r>
    </w:p>
    <w:p w14:paraId="4F56C1F6" w14:textId="2C1F5E1F" w:rsidR="00E061B5" w:rsidRDefault="00E061B5" w:rsidP="008B7B21">
      <w:pPr>
        <w:spacing w:before="240" w:after="360"/>
      </w:pPr>
      <w:r>
        <w:t xml:space="preserve">The steps outlined below apply when </w:t>
      </w:r>
      <w:r w:rsidR="00600088">
        <w:t>a faculty</w:t>
      </w:r>
      <w:r>
        <w:t xml:space="preserve"> respondent is found in violation of the </w:t>
      </w:r>
      <w:r>
        <w:rPr>
          <w:i/>
          <w:iCs/>
        </w:rPr>
        <w:t>NHSC SVSH Policy</w:t>
      </w:r>
      <w:r>
        <w:t xml:space="preserve"> following a Formal Investigation or following a hearing and any appeal in a DOE Grievance Process.</w:t>
      </w:r>
    </w:p>
    <w:p w14:paraId="5557742A" w14:textId="673C913A" w:rsidR="00E061B5" w:rsidRDefault="00E061B5" w:rsidP="008B7B21">
      <w:pPr>
        <w:spacing w:before="240" w:after="360"/>
        <w:rPr>
          <w:color w:val="0072C6" w:themeColor="accent1"/>
        </w:rPr>
      </w:pPr>
      <w:r>
        <w:rPr>
          <w:color w:val="0072C6" w:themeColor="accent1"/>
        </w:rPr>
        <w:t>Decision by President or President’s Designee</w:t>
      </w:r>
    </w:p>
    <w:p w14:paraId="1CF68AD5" w14:textId="0BEBF11C" w:rsidR="00E061B5" w:rsidRDefault="00E061B5" w:rsidP="008B7B21">
      <w:pPr>
        <w:spacing w:before="240" w:after="360"/>
      </w:pPr>
      <w:r>
        <w:t>Following consultation with the Peer Review Committee and Title IX Officer, the Present’s designee will decide what action to take to resolve the matter.</w:t>
      </w:r>
    </w:p>
    <w:p w14:paraId="50C44156" w14:textId="3904E55C" w:rsidR="00E061B5" w:rsidRDefault="00E061B5" w:rsidP="008B7B21">
      <w:pPr>
        <w:spacing w:before="240" w:after="360"/>
      </w:pPr>
      <w:r>
        <w:t>The President must initiate related disciplinary action by delivering notice of proposed action to the respondent no later than three years after the President is deemed to have known about the alleged violation.  For an alleg</w:t>
      </w:r>
      <w:r w:rsidR="00AF3734">
        <w:t>ation of sexual violence or sexual harassment, the President is deemed to know about an alleged violation of the Faculty Code of Conduct when the allegation is first reported to any academic administrator at the level of department chair or above, or the campus Title IX Office.</w:t>
      </w:r>
    </w:p>
    <w:p w14:paraId="211BEB57" w14:textId="0E6CC878" w:rsidR="00AF3734" w:rsidRDefault="00594F8E" w:rsidP="008B7B21">
      <w:pPr>
        <w:spacing w:before="240" w:after="360"/>
      </w:pPr>
      <w:r>
        <w:rPr>
          <w:b/>
          <w:bCs/>
        </w:rPr>
        <w:t xml:space="preserve">No Formal Discipline: </w:t>
      </w:r>
      <w:r>
        <w:t>The President or President’s designee may determine to resolve the matter without taking any formal disciplinary action.</w:t>
      </w:r>
    </w:p>
    <w:p w14:paraId="2EC81D2C" w14:textId="438A8F8B" w:rsidR="00594F8E" w:rsidRDefault="00594F8E" w:rsidP="008B7B21">
      <w:pPr>
        <w:spacing w:before="240" w:after="360"/>
      </w:pPr>
      <w:r>
        <w:rPr>
          <w:b/>
          <w:bCs/>
        </w:rPr>
        <w:t xml:space="preserve">Early Resolution: </w:t>
      </w:r>
      <w:r>
        <w:t xml:space="preserve">The President or President’s designee can enter into an early resolution with the respondent.  An early resolution can be achieved at </w:t>
      </w:r>
      <w:r w:rsidR="00424284">
        <w:t>any time</w:t>
      </w:r>
      <w:r>
        <w:t xml:space="preserve"> prior to the final impos</w:t>
      </w:r>
      <w:r w:rsidR="00EA3CC6">
        <w:t>ition of discipline.</w:t>
      </w:r>
    </w:p>
    <w:p w14:paraId="25A217DB" w14:textId="4B0E0D57" w:rsidR="00EA3CC6" w:rsidRDefault="00E20209" w:rsidP="008B7B21">
      <w:pPr>
        <w:spacing w:before="240" w:after="360"/>
        <w:rPr>
          <w:color w:val="0072C6" w:themeColor="accent1"/>
        </w:rPr>
      </w:pPr>
      <w:r w:rsidRPr="00E20209">
        <w:rPr>
          <w:color w:val="0072C6" w:themeColor="accent1"/>
        </w:rPr>
        <w:t>Timeframe for Decision: Extension for Good Cause</w:t>
      </w:r>
    </w:p>
    <w:p w14:paraId="574FCF78" w14:textId="409D4E40" w:rsidR="00BE536A" w:rsidRDefault="00BE536A" w:rsidP="008B7B21">
      <w:pPr>
        <w:spacing w:before="240" w:after="360"/>
      </w:pPr>
      <w:r>
        <w:t>The President or President’s designee should implement their decision promptly, typically within forty (40) business days of receipt of the notice of investigation outcome and accompany</w:t>
      </w:r>
      <w:r w:rsidR="00D773EC">
        <w:t xml:space="preserve">ing Investigative Report.  If the matter has not been otherwise resolved with forty (40) business days, a charge will be filed with the Academic ’s Committee on Privilege &amp; Tenure.  A charge </w:t>
      </w:r>
      <w:r w:rsidR="00D773EC">
        <w:lastRenderedPageBreak/>
        <w:t>will not be held in abeyance or suspended while an early resolution is being</w:t>
      </w:r>
      <w:r w:rsidR="00A65404">
        <w:t xml:space="preserve"> pursued or finalized</w:t>
      </w:r>
      <w:r w:rsidR="00873094">
        <w:t>.  Extensions to this timeline may be granted by the President for good cause with written notice to the complainant and respondent stating the reason for the extension and the projected new timeline.</w:t>
      </w:r>
    </w:p>
    <w:p w14:paraId="592805E1" w14:textId="5C750856" w:rsidR="00873094" w:rsidRDefault="00873094" w:rsidP="008B7B21">
      <w:pPr>
        <w:spacing w:before="240" w:after="360"/>
        <w:rPr>
          <w:color w:val="0072C6" w:themeColor="accent1"/>
        </w:rPr>
      </w:pPr>
      <w:r>
        <w:rPr>
          <w:color w:val="0072C6" w:themeColor="accent1"/>
        </w:rPr>
        <w:t>Process Following the Filing of a Charge</w:t>
      </w:r>
    </w:p>
    <w:p w14:paraId="75B67305" w14:textId="5D350447" w:rsidR="00106E13" w:rsidRDefault="00106E13" w:rsidP="008B7B21">
      <w:pPr>
        <w:spacing w:before="240" w:after="360"/>
      </w:pPr>
      <w:r>
        <w:t xml:space="preserve">The investigation Report and hearing officer’s notice of determination (if any) will be accepted as evidence in the Privilege &amp; Tenure hearing.  The President or President’s designee will ensure that the complainant and respondent receive regular updates regarding the status of the proceedings.  With fourteen (14) calendar days of receiving the recommendation from the Academic ’s Committee on Privilege &amp; Tenure, the President will make a final decision regarding </w:t>
      </w:r>
      <w:r w:rsidR="0093447A">
        <w:t>discipline.</w:t>
      </w:r>
    </w:p>
    <w:p w14:paraId="268B1E5E" w14:textId="095596E6" w:rsidR="00E24A97" w:rsidRDefault="00E24A97" w:rsidP="008B7B21">
      <w:pPr>
        <w:spacing w:before="240" w:after="360"/>
        <w:rPr>
          <w:b/>
          <w:bCs/>
        </w:rPr>
      </w:pPr>
      <w:r>
        <w:rPr>
          <w:b/>
          <w:bCs/>
        </w:rPr>
        <w:t xml:space="preserve">Decision on Sanctions for </w:t>
      </w:r>
      <w:r w:rsidR="00B86D02">
        <w:rPr>
          <w:b/>
          <w:bCs/>
        </w:rPr>
        <w:t>Employees</w:t>
      </w:r>
    </w:p>
    <w:p w14:paraId="1531CF9C" w14:textId="35BBA7AB" w:rsidR="00E24A97" w:rsidRDefault="00E24A97" w:rsidP="008B7B21">
      <w:pPr>
        <w:spacing w:before="240" w:after="360"/>
      </w:pPr>
      <w:r>
        <w:t xml:space="preserve">The below provisions apply when a faculty respondent is found in violation of the </w:t>
      </w:r>
      <w:r>
        <w:rPr>
          <w:i/>
          <w:iCs/>
        </w:rPr>
        <w:t>NHSC SVSH Policy</w:t>
      </w:r>
      <w:r w:rsidR="000A66E3">
        <w:rPr>
          <w:i/>
          <w:iCs/>
        </w:rPr>
        <w:t xml:space="preserve"> </w:t>
      </w:r>
      <w:r w:rsidR="000A66E3">
        <w:t>following a Formal Investigation or following a hearing and any appeal in a DOE Grievance Process.</w:t>
      </w:r>
    </w:p>
    <w:p w14:paraId="7854F5D8" w14:textId="44B769F7" w:rsidR="000A66E3" w:rsidRDefault="007D2137" w:rsidP="008B7B21">
      <w:pPr>
        <w:spacing w:before="240" w:after="360"/>
        <w:rPr>
          <w:color w:val="0072C6" w:themeColor="accent1"/>
        </w:rPr>
      </w:pPr>
      <w:r>
        <w:rPr>
          <w:color w:val="0072C6" w:themeColor="accent1"/>
        </w:rPr>
        <w:t>Decision by President or President’s Designee</w:t>
      </w:r>
    </w:p>
    <w:p w14:paraId="17D93E1A" w14:textId="338AA822" w:rsidR="007D2137" w:rsidRDefault="007D2137" w:rsidP="008B7B21">
      <w:pPr>
        <w:spacing w:before="240" w:after="360"/>
      </w:pPr>
      <w:r w:rsidRPr="00D07247">
        <w:t xml:space="preserve">Following consultation with the Title IX Officer and Peer Review Committee or Academic Personnel Office, the President or President’s designee shall decide what action to take to resolve the matter.  The President must initiate related disciplinary action by delivering notice of proposed action to the respondent no later than three years after the President is deemed to have known about </w:t>
      </w:r>
      <w:r w:rsidR="00D07247" w:rsidRPr="00D07247">
        <w:t xml:space="preserve">the alleged violation.  For an allegation of sexual violence or sexual harassment, the President is deemed to know about an alleged violation of the </w:t>
      </w:r>
      <w:r w:rsidR="00CF26B2">
        <w:t xml:space="preserve">Employee </w:t>
      </w:r>
      <w:r w:rsidR="00D07247" w:rsidRPr="00D07247">
        <w:t>Code of Conduct when the allegation is first reported to any academic administrator at the level of department chair or above, or the campus Title IX Officer.</w:t>
      </w:r>
    </w:p>
    <w:p w14:paraId="178105B4" w14:textId="35B1A814" w:rsidR="00D07247" w:rsidRDefault="00D07247" w:rsidP="008B7B21">
      <w:pPr>
        <w:spacing w:before="240" w:after="360"/>
      </w:pPr>
      <w:r>
        <w:rPr>
          <w:b/>
          <w:bCs/>
        </w:rPr>
        <w:lastRenderedPageBreak/>
        <w:t xml:space="preserve">No Disciplinary Action: </w:t>
      </w:r>
      <w:r>
        <w:t>The President or President’s designee may determine to resolve the matter without taking any formal disciplinary action.</w:t>
      </w:r>
    </w:p>
    <w:p w14:paraId="0030B646" w14:textId="7B89E645" w:rsidR="00D07247" w:rsidRDefault="00DC0002" w:rsidP="008B7B21">
      <w:pPr>
        <w:spacing w:before="240" w:after="360"/>
      </w:pPr>
      <w:r>
        <w:rPr>
          <w:b/>
          <w:bCs/>
        </w:rPr>
        <w:t xml:space="preserve">Informal Resolution: </w:t>
      </w:r>
      <w:r>
        <w:t xml:space="preserve">The President or President’s designee can pursue an informal resolution, which may include discipline and/or other corrective or remedial measures.  Informal </w:t>
      </w:r>
      <w:r w:rsidR="00A21ADA">
        <w:t>resolution can be achieved at any time prior to the final imposition of dismissal or corrective action.</w:t>
      </w:r>
    </w:p>
    <w:p w14:paraId="031B14C5" w14:textId="7453F18E" w:rsidR="00A21ADA" w:rsidRDefault="00B14166" w:rsidP="008B7B21">
      <w:pPr>
        <w:spacing w:before="240" w:after="360"/>
      </w:pPr>
      <w:r>
        <w:rPr>
          <w:b/>
          <w:bCs/>
        </w:rPr>
        <w:t xml:space="preserve">Notice of Intent: </w:t>
      </w:r>
      <w:r>
        <w:t>The President or President’s designee can issue a notice of intent instituting</w:t>
      </w:r>
      <w:r w:rsidR="002052DD">
        <w:t xml:space="preserve"> dismissal or other corrective action.</w:t>
      </w:r>
    </w:p>
    <w:p w14:paraId="56C1C8DB" w14:textId="6076AAB7" w:rsidR="002052DD" w:rsidRDefault="002052DD" w:rsidP="008B7B21">
      <w:pPr>
        <w:spacing w:before="240" w:after="360"/>
        <w:rPr>
          <w:color w:val="0072C6" w:themeColor="accent1"/>
        </w:rPr>
      </w:pPr>
      <w:r>
        <w:rPr>
          <w:color w:val="0072C6" w:themeColor="accent1"/>
        </w:rPr>
        <w:t>Timeframe for Decision; Extension for Good Cause</w:t>
      </w:r>
    </w:p>
    <w:p w14:paraId="220E207D" w14:textId="48D39336" w:rsidR="002052DD" w:rsidRDefault="002052DD" w:rsidP="008B7B21">
      <w:pPr>
        <w:spacing w:before="240" w:after="360"/>
      </w:pPr>
      <w:r>
        <w:t>The President or President’s designee should implement their decision promptly</w:t>
      </w:r>
      <w:r w:rsidR="00354C59">
        <w:t xml:space="preserve"> and simultaneously, typically within forty (40) business days of receipt of the notice of investigation outcome and accompanying Investigative Report.  If the matter has not been otherwise resolved within forty (40) business days</w:t>
      </w:r>
      <w:r w:rsidR="0079007C">
        <w:t>, a notice of intent shall be issued.  Extensions to this timeline may be granted by the President for good cause with written notice to the complainant and respondent stating the reason for the extension and the project new timeline.</w:t>
      </w:r>
    </w:p>
    <w:p w14:paraId="1CFA089C" w14:textId="4D91215A" w:rsidR="0079007C" w:rsidRDefault="00910B34" w:rsidP="008B7B21">
      <w:pPr>
        <w:spacing w:before="240" w:after="360"/>
        <w:rPr>
          <w:color w:val="0072C6" w:themeColor="accent1"/>
        </w:rPr>
      </w:pPr>
      <w:r>
        <w:rPr>
          <w:color w:val="0072C6" w:themeColor="accent1"/>
        </w:rPr>
        <w:t>Process Following the Provision of a Written Notice of Intent</w:t>
      </w:r>
    </w:p>
    <w:p w14:paraId="6CF83C85" w14:textId="757E0872" w:rsidR="00D7597C" w:rsidRDefault="00DA0681" w:rsidP="008B7B21">
      <w:pPr>
        <w:spacing w:before="240" w:after="360"/>
      </w:pPr>
      <w:r>
        <w:t>Should the respondent submit a grievance</w:t>
      </w:r>
      <w:r w:rsidR="002925F4">
        <w:t xml:space="preserve"> or otherwise challenging an administrative decision, the President’s designee will ensure that both the complainant and respondent receive regular updates regarding the status of the grievance.  When </w:t>
      </w:r>
      <w:r w:rsidR="00600088">
        <w:t>a faculty</w:t>
      </w:r>
      <w:r w:rsidR="002925F4">
        <w:t xml:space="preserve"> member receives notice</w:t>
      </w:r>
      <w:r w:rsidR="00CD3032">
        <w:t xml:space="preserve"> of termination before the expiration of their appointment, they may select a grievance mechanism.</w:t>
      </w:r>
    </w:p>
    <w:p w14:paraId="30A9CB37" w14:textId="15EDDC21" w:rsidR="00CD3032" w:rsidRDefault="00CD3032" w:rsidP="008B7B21">
      <w:pPr>
        <w:spacing w:before="240" w:after="360"/>
        <w:rPr>
          <w:b/>
          <w:bCs/>
        </w:rPr>
      </w:pPr>
      <w:r>
        <w:rPr>
          <w:b/>
          <w:bCs/>
        </w:rPr>
        <w:t>Disciplinary Procedures from Staff and Faculty Policies</w:t>
      </w:r>
    </w:p>
    <w:p w14:paraId="5C617AA1" w14:textId="1484B1F7" w:rsidR="00CD3032" w:rsidRDefault="00CD3032" w:rsidP="008B7B21">
      <w:pPr>
        <w:spacing w:before="240" w:after="360"/>
      </w:pPr>
      <w:r w:rsidRPr="001450EB">
        <w:rPr>
          <w:color w:val="0072C6" w:themeColor="accent1"/>
        </w:rPr>
        <w:t xml:space="preserve">The </w:t>
      </w:r>
      <w:r w:rsidR="00CD1D5E" w:rsidRPr="001450EB">
        <w:rPr>
          <w:color w:val="0072C6" w:themeColor="accent1"/>
        </w:rPr>
        <w:t>Employee</w:t>
      </w:r>
      <w:r w:rsidRPr="001450EB">
        <w:rPr>
          <w:color w:val="0072C6" w:themeColor="accent1"/>
        </w:rPr>
        <w:t xml:space="preserve"> Code of Conduct</w:t>
      </w:r>
      <w:r w:rsidR="008A4C92">
        <w:rPr>
          <w:color w:val="0072C6" w:themeColor="accent1"/>
        </w:rPr>
        <w:t>:</w:t>
      </w:r>
      <w:r w:rsidR="00C049F4">
        <w:rPr>
          <w:color w:val="0072C6" w:themeColor="accent1"/>
        </w:rPr>
        <w:br/>
      </w:r>
      <w:r w:rsidR="00E660B7">
        <w:t>This policy establishes the ethical and professional standards which NHSC</w:t>
      </w:r>
      <w:r w:rsidR="00C87398">
        <w:t xml:space="preserve"> </w:t>
      </w:r>
      <w:r w:rsidR="005A2770">
        <w:t>E</w:t>
      </w:r>
      <w:r w:rsidR="008A4C92">
        <w:t>mployees</w:t>
      </w:r>
      <w:r w:rsidR="00C87398">
        <w:t xml:space="preserve"> are expected to observe.  Because the forms of unacceptable behavior listed in the </w:t>
      </w:r>
      <w:r w:rsidR="008A4C92">
        <w:rPr>
          <w:i/>
          <w:iCs/>
        </w:rPr>
        <w:t xml:space="preserve">Employees </w:t>
      </w:r>
      <w:r w:rsidR="00C87398">
        <w:rPr>
          <w:i/>
          <w:iCs/>
        </w:rPr>
        <w:lastRenderedPageBreak/>
        <w:t xml:space="preserve">code of Conduct </w:t>
      </w:r>
      <w:r w:rsidR="00C87398">
        <w:t xml:space="preserve">also apply to Sexual Violence or Sexual Harassment, a violation of the </w:t>
      </w:r>
      <w:r w:rsidR="00906BDA">
        <w:rPr>
          <w:i/>
          <w:iCs/>
        </w:rPr>
        <w:t>NHSC SVSH Policy</w:t>
      </w:r>
      <w:r w:rsidR="006A2F98">
        <w:t xml:space="preserve"> may constitute a violation of the</w:t>
      </w:r>
      <w:r w:rsidR="00D94002">
        <w:rPr>
          <w:i/>
          <w:iCs/>
        </w:rPr>
        <w:t xml:space="preserve"> Code of Conduct.  NHSC’s Policy on Conduct and the Administra</w:t>
      </w:r>
      <w:r w:rsidR="00105C7A">
        <w:rPr>
          <w:i/>
          <w:iCs/>
        </w:rPr>
        <w:t xml:space="preserve">tion of Discipline </w:t>
      </w:r>
      <w:r w:rsidR="00105C7A">
        <w:t xml:space="preserve">outlines sanctions and disciplinary procedures for </w:t>
      </w:r>
      <w:r w:rsidR="005A2770">
        <w:t>the Employees</w:t>
      </w:r>
      <w:r w:rsidR="00105C7A">
        <w:t>.</w:t>
      </w:r>
      <w:r w:rsidR="004C2508">
        <w:t xml:space="preserve">  The types of discipline that may be imposed on a member of the </w:t>
      </w:r>
      <w:r w:rsidR="005245CC">
        <w:t>staff</w:t>
      </w:r>
      <w:r w:rsidR="004C2508">
        <w:t xml:space="preserve"> are as follows, in order of increasing severity:</w:t>
      </w:r>
    </w:p>
    <w:p w14:paraId="0A5ED3F4" w14:textId="33AD9B5A" w:rsidR="00DD75B6" w:rsidRDefault="00DD75B6" w:rsidP="006A64BD">
      <w:pPr>
        <w:pStyle w:val="ListParagraph"/>
        <w:numPr>
          <w:ilvl w:val="0"/>
          <w:numId w:val="56"/>
        </w:numPr>
        <w:spacing w:before="240" w:after="360"/>
      </w:pPr>
      <w:r>
        <w:rPr>
          <w:b/>
          <w:bCs/>
        </w:rPr>
        <w:t>Reduction in Salary:</w:t>
      </w:r>
      <w:r>
        <w:t xml:space="preserve"> Reduction to lower salary without change in rank or step.  The authority to reduce the salary of any</w:t>
      </w:r>
      <w:r w:rsidR="00E9093D">
        <w:t xml:space="preserve"> </w:t>
      </w:r>
      <w:r w:rsidR="009C3832">
        <w:t xml:space="preserve">employee </w:t>
      </w:r>
      <w:r w:rsidR="00E9093D">
        <w:t>member rests with the President.  This authority may not be redelegated.  The amount and duration of the reduced salary shall be specified.</w:t>
      </w:r>
    </w:p>
    <w:p w14:paraId="281931E9" w14:textId="0B54D497" w:rsidR="00E9093D" w:rsidRDefault="006D775B" w:rsidP="006A64BD">
      <w:pPr>
        <w:pStyle w:val="ListParagraph"/>
        <w:numPr>
          <w:ilvl w:val="0"/>
          <w:numId w:val="56"/>
        </w:numPr>
        <w:spacing w:before="240" w:after="360"/>
      </w:pPr>
      <w:r>
        <w:rPr>
          <w:b/>
          <w:bCs/>
        </w:rPr>
        <w:t>Demotion:</w:t>
      </w:r>
      <w:r>
        <w:t xml:space="preserve"> Reduction to lower rank or step with co</w:t>
      </w:r>
      <w:r w:rsidR="004563DE">
        <w:t>rresponding reduction in salary.  Demotion as a disciplinary action should be imposed in a manner consistent with the merit-based system for advancement</w:t>
      </w:r>
      <w:r w:rsidR="00AD7B34">
        <w:t xml:space="preserve"> </w:t>
      </w:r>
      <w:r w:rsidR="00F45884">
        <w:t>The authority to reduce, within rank, the step of any faculty</w:t>
      </w:r>
      <w:r w:rsidR="00B865C9">
        <w:t xml:space="preserve"> member to a lower step rest</w:t>
      </w:r>
      <w:r w:rsidR="003C2EDD">
        <w:t>s</w:t>
      </w:r>
      <w:r w:rsidR="00B865C9">
        <w:t xml:space="preserve"> with the </w:t>
      </w:r>
      <w:r w:rsidR="0093447A">
        <w:t>President.</w:t>
      </w:r>
    </w:p>
    <w:p w14:paraId="609E638B" w14:textId="7BDB5D2B" w:rsidR="00353B22" w:rsidRDefault="00353B22" w:rsidP="006A64BD">
      <w:pPr>
        <w:pStyle w:val="ListParagraph"/>
        <w:numPr>
          <w:ilvl w:val="0"/>
          <w:numId w:val="56"/>
        </w:numPr>
        <w:spacing w:before="240" w:after="360"/>
      </w:pPr>
      <w:r>
        <w:rPr>
          <w:b/>
          <w:bCs/>
        </w:rPr>
        <w:t xml:space="preserve">Suspension: </w:t>
      </w:r>
      <w:r w:rsidR="00DC0CA4">
        <w:t>Suspension of a</w:t>
      </w:r>
      <w:r w:rsidR="00DD2542">
        <w:t>n</w:t>
      </w:r>
      <w:r w:rsidR="00DC0CA4">
        <w:t xml:space="preserve"> </w:t>
      </w:r>
      <w:r w:rsidR="00687410">
        <w:t>emplo</w:t>
      </w:r>
      <w:r w:rsidR="00DD2542">
        <w:t xml:space="preserve">yee </w:t>
      </w:r>
      <w:r w:rsidR="00DC0CA4">
        <w:t>member without pay for some stated period of time from the continuance</w:t>
      </w:r>
      <w:r w:rsidR="002A4DB8">
        <w:t xml:space="preserve"> of the appointment on its normal terms.  Unless otherwise noted, the terms of a suspension will include loss of normal </w:t>
      </w:r>
      <w:r w:rsidR="00DD2542">
        <w:t xml:space="preserve">employee </w:t>
      </w:r>
      <w:r w:rsidR="002A4DB8">
        <w:t>privileges such as access to NHSC property, participation in departmental governance, voting rights, administration of grants, supervision of graduate students, and use of NHSC</w:t>
      </w:r>
      <w:r w:rsidR="00DC2871">
        <w:t xml:space="preserve"> administrative staff, and may include loss of other campus privileges such as parking and library privileges.  The degree and duration of the suspension shall be specified.  Authority for the suspension of a faculty member rests with the President and may not</w:t>
      </w:r>
      <w:r w:rsidR="00237B69">
        <w:t xml:space="preserve"> be re-delegated.  Suspension as a disciplinary action is to be distinguished from involuntary leave, which is precautionary action.</w:t>
      </w:r>
    </w:p>
    <w:p w14:paraId="3C95ACEB" w14:textId="13213FB5" w:rsidR="00626E40" w:rsidRDefault="006E1076" w:rsidP="006A64BD">
      <w:pPr>
        <w:pStyle w:val="ListParagraph"/>
        <w:numPr>
          <w:ilvl w:val="0"/>
          <w:numId w:val="56"/>
        </w:numPr>
        <w:spacing w:before="240" w:after="360"/>
      </w:pPr>
      <w:r>
        <w:rPr>
          <w:b/>
          <w:bCs/>
        </w:rPr>
        <w:t>Dismissal from the Employ of NHSC:</w:t>
      </w:r>
      <w:r>
        <w:t xml:space="preserve"> The President has authority to dismiss a</w:t>
      </w:r>
      <w:r w:rsidR="002D33C1">
        <w:t>n employee</w:t>
      </w:r>
      <w:r w:rsidR="00EA67A6">
        <w:t>.</w:t>
      </w:r>
      <w:r w:rsidR="007058A4">
        <w:t xml:space="preserve"> This authority may not be redelegated.  </w:t>
      </w:r>
      <w:r w:rsidR="00EC5030">
        <w:t xml:space="preserve">Prior to the imposition of any disciplinary sanction(s) as described above, the President may waive or limit any or all of disciplinary sanction(s) on the condition that the respondent </w:t>
      </w:r>
      <w:r w:rsidR="00225272">
        <w:t>employee</w:t>
      </w:r>
      <w:r w:rsidR="00EC5030">
        <w:t xml:space="preserve"> member performs som</w:t>
      </w:r>
      <w:r w:rsidR="00755B70">
        <w:t>e</w:t>
      </w:r>
      <w:r w:rsidR="00EC5030">
        <w:t xml:space="preserve"> speci</w:t>
      </w:r>
      <w:r w:rsidR="00755B70">
        <w:t>fied action(s) designed to address the harm and/or</w:t>
      </w:r>
      <w:r w:rsidR="002D69F2">
        <w:t xml:space="preserve"> to prevent future harm.  Such actions may include, but are not limited to, monetary restitution</w:t>
      </w:r>
      <w:r w:rsidR="00333A4D">
        <w:t xml:space="preserve">, repayment of </w:t>
      </w:r>
      <w:r w:rsidR="00333A4D">
        <w:lastRenderedPageBreak/>
        <w:t>misappropriated resources, compliance with a commitment not to repeat</w:t>
      </w:r>
      <w:r w:rsidR="00F87D70">
        <w:t xml:space="preserve"> the mi</w:t>
      </w:r>
      <w:r w:rsidR="0013153F">
        <w:t>s</w:t>
      </w:r>
      <w:r w:rsidR="00F87D70">
        <w:t xml:space="preserve">conduct, or other act to make whole injury </w:t>
      </w:r>
      <w:r w:rsidR="00424284">
        <w:t>caused</w:t>
      </w:r>
      <w:r w:rsidR="00F87D70">
        <w:t xml:space="preserve"> by the faculty member’s professional misconduct or to prevent future misconduct.  If the imposition of a disciplina</w:t>
      </w:r>
      <w:r w:rsidR="0013153F">
        <w:t>ry sanction is waived, the subsequent failure to perform the required act</w:t>
      </w:r>
      <w:r w:rsidR="006762EB">
        <w:t xml:space="preserve"> or otherwise comply with the conditions of the waiver will immediately subject the </w:t>
      </w:r>
      <w:r w:rsidR="006A64B0">
        <w:t>employee</w:t>
      </w:r>
      <w:r w:rsidR="00E118F1">
        <w:t xml:space="preserve"> member to the implementation of the underlying sanction without an additional hearing.  The authority to determine whether the </w:t>
      </w:r>
      <w:r w:rsidR="006A64B0">
        <w:t>employee</w:t>
      </w:r>
      <w:r w:rsidR="00E118F1">
        <w:t xml:space="preserve"> member</w:t>
      </w:r>
      <w:r w:rsidR="00EE1A74">
        <w:t xml:space="preserve"> has complied with the conditions of the waiver rests with the President.  The President may designate a fixed time period for</w:t>
      </w:r>
      <w:r w:rsidR="009321B3">
        <w:t xml:space="preserve"> compliance with the terms of the waiver, after which the authority to impose discipline will lapse</w:t>
      </w:r>
      <w:r w:rsidR="008960C5">
        <w:t>.  A President is authorized to initiate involuntary leave with pay prior to the initiation</w:t>
      </w:r>
      <w:r w:rsidR="00750522">
        <w:t xml:space="preserve"> of a disciplinary action if it is found that there is a strong risk that the respondent </w:t>
      </w:r>
      <w:r w:rsidR="000F0D72">
        <w:t>employee</w:t>
      </w:r>
      <w:r w:rsidR="00750522">
        <w:t xml:space="preserve"> member’s continued assignment to regular duties or pre</w:t>
      </w:r>
      <w:r w:rsidR="00343A14">
        <w:t>sence on campus will cause immediate and serious harm to the NHSC community or impede the investigation of their wrongdoing, or in</w:t>
      </w:r>
      <w:r w:rsidR="001F38B2">
        <w:t xml:space="preserve"> situations where the </w:t>
      </w:r>
      <w:r w:rsidR="000F0D72">
        <w:t>employee</w:t>
      </w:r>
      <w:r w:rsidR="001F38B2">
        <w:t xml:space="preserve"> me</w:t>
      </w:r>
      <w:r w:rsidR="00265D70">
        <w:t>m</w:t>
      </w:r>
      <w:r w:rsidR="001F38B2">
        <w:t>ber’s conduct represents a serious crime or felony that is</w:t>
      </w:r>
      <w:r w:rsidR="00BD4110">
        <w:t xml:space="preserve"> the subject of investigation by a law enforcement agency</w:t>
      </w:r>
      <w:r w:rsidR="00A960DD">
        <w:t>.  When</w:t>
      </w:r>
      <w:r w:rsidR="0064010C">
        <w:t xml:space="preserve"> such action is necessary, it must be possible to impose the involuntary leave swiftly, without resorting to normal disciplinary procedures.  In rare and egregious cases, a President may be authorized by special action of The Board of Directors</w:t>
      </w:r>
      <w:r w:rsidR="00626E40">
        <w:t xml:space="preserve"> to suspend and pay of a</w:t>
      </w:r>
      <w:r w:rsidR="002C656A">
        <w:t>n</w:t>
      </w:r>
      <w:r w:rsidR="00626E40">
        <w:t xml:space="preserve"> </w:t>
      </w:r>
      <w:r w:rsidR="002C656A">
        <w:t>employee</w:t>
      </w:r>
      <w:r w:rsidR="00626E40">
        <w:t xml:space="preserve"> member on involuntary leave pending a disciplinary action.  This is in addition</w:t>
      </w:r>
      <w:r w:rsidR="007B444C">
        <w:t xml:space="preserve"> to the President’s power to suspend the pay of a</w:t>
      </w:r>
      <w:r w:rsidR="00CA4DAE">
        <w:t>n</w:t>
      </w:r>
      <w:r w:rsidR="007B444C">
        <w:t xml:space="preserve"> </w:t>
      </w:r>
      <w:r w:rsidR="00CA4DAE">
        <w:t>employee</w:t>
      </w:r>
      <w:r w:rsidR="007B444C">
        <w:t xml:space="preserve"> member </w:t>
      </w:r>
      <w:r w:rsidR="008738C3">
        <w:t xml:space="preserve">who is absent without authorization and fails to perform their duties for an extended period of time, pending the resolution of the </w:t>
      </w:r>
      <w:r w:rsidR="00CA4DAE">
        <w:t>employee</w:t>
      </w:r>
      <w:r w:rsidR="00A209A1">
        <w:t xml:space="preserve"> member’s employment status with NHSC.  </w:t>
      </w:r>
      <w:r w:rsidR="00E840DB">
        <w:t xml:space="preserve">With five (5) working days after the imposition of involuntary leave, the President must explain to the </w:t>
      </w:r>
      <w:r w:rsidR="00B93333">
        <w:t xml:space="preserve">employee </w:t>
      </w:r>
      <w:r w:rsidR="00E840DB">
        <w:t>member in writing the reasons for</w:t>
      </w:r>
      <w:r w:rsidR="00432ADC">
        <w:t xml:space="preserve"> the involuntary leave and initiate disciplinary procedures by bringing charges against the </w:t>
      </w:r>
      <w:r w:rsidR="00B93333">
        <w:t>employee</w:t>
      </w:r>
      <w:r w:rsidR="00432ADC">
        <w:t xml:space="preserve"> member on leave.</w:t>
      </w:r>
    </w:p>
    <w:p w14:paraId="5E56C85C" w14:textId="115E9A6F" w:rsidR="006F1EB3" w:rsidRPr="00C92470" w:rsidRDefault="00D32CD1" w:rsidP="00C92470">
      <w:pPr>
        <w:pStyle w:val="Heading2"/>
        <w:rPr>
          <w:rFonts w:asciiTheme="minorHAnsi" w:hAnsiTheme="minorHAnsi" w:cstheme="minorHAnsi"/>
          <w:sz w:val="24"/>
          <w:szCs w:val="24"/>
        </w:rPr>
      </w:pPr>
      <w:bookmarkStart w:id="55" w:name="_Toc209014407"/>
      <w:r w:rsidRPr="00C92470">
        <w:rPr>
          <w:rFonts w:asciiTheme="minorHAnsi" w:hAnsiTheme="minorHAnsi" w:cstheme="minorHAnsi"/>
          <w:sz w:val="24"/>
          <w:szCs w:val="24"/>
        </w:rPr>
        <w:t>10.12</w:t>
      </w:r>
      <w:r w:rsidRPr="00C92470">
        <w:rPr>
          <w:rFonts w:asciiTheme="minorHAnsi" w:hAnsiTheme="minorHAnsi" w:cstheme="minorHAnsi"/>
          <w:sz w:val="24"/>
          <w:szCs w:val="24"/>
        </w:rPr>
        <w:tab/>
      </w:r>
      <w:r w:rsidR="0006602E" w:rsidRPr="00C92470">
        <w:rPr>
          <w:rFonts w:asciiTheme="minorHAnsi" w:hAnsiTheme="minorHAnsi" w:cstheme="minorHAnsi"/>
          <w:sz w:val="24"/>
          <w:szCs w:val="24"/>
        </w:rPr>
        <w:t>COMPREHENSIVE LIST OF RESOURCES</w:t>
      </w:r>
      <w:bookmarkEnd w:id="55"/>
    </w:p>
    <w:p w14:paraId="72A83CBD" w14:textId="0F564F9D" w:rsidR="00C92470" w:rsidRDefault="0006602E" w:rsidP="006F1EB3">
      <w:pPr>
        <w:spacing w:before="240" w:after="360"/>
      </w:pPr>
      <w:r>
        <w:t>NHSC is commit</w:t>
      </w:r>
      <w:r w:rsidR="0058198A">
        <w:t xml:space="preserve">ted to creating a safe and secure campus environment.  Below is a comprehensive list of resources on campus, in the </w:t>
      </w:r>
      <w:r w:rsidR="002B258D">
        <w:t xml:space="preserve">greater </w:t>
      </w:r>
      <w:r w:rsidR="00C100B5">
        <w:t>community</w:t>
      </w:r>
      <w:r w:rsidR="002B258D">
        <w:t xml:space="preserve">, nationally for </w:t>
      </w:r>
      <w:r w:rsidR="002B258D">
        <w:lastRenderedPageBreak/>
        <w:t>complainants/victims, students, employees, or anyone with questions or concerns about Sexual Violence</w:t>
      </w:r>
    </w:p>
    <w:p w14:paraId="19D82F02" w14:textId="77777777" w:rsidR="00AC137F" w:rsidRPr="00922049" w:rsidRDefault="00AC137F" w:rsidP="006F1EB3">
      <w:pPr>
        <w:spacing w:before="240" w:after="360"/>
      </w:pPr>
    </w:p>
    <w:tbl>
      <w:tblPr>
        <w:tblStyle w:val="BusinessPaper"/>
        <w:tblW w:w="0" w:type="auto"/>
        <w:tblLook w:val="04A0" w:firstRow="1" w:lastRow="0" w:firstColumn="1" w:lastColumn="0" w:noHBand="0" w:noVBand="1"/>
      </w:tblPr>
      <w:tblGrid>
        <w:gridCol w:w="2429"/>
        <w:gridCol w:w="2611"/>
        <w:gridCol w:w="2970"/>
        <w:gridCol w:w="2214"/>
      </w:tblGrid>
      <w:tr w:rsidR="006855FC" w14:paraId="647977C3" w14:textId="77777777" w:rsidTr="006B55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9" w:type="dxa"/>
          </w:tcPr>
          <w:p w14:paraId="547497AF" w14:textId="03380AE1" w:rsidR="006855FC" w:rsidRPr="00A64E15" w:rsidRDefault="00A64E15" w:rsidP="006F1EB3">
            <w:pPr>
              <w:spacing w:before="240" w:after="360"/>
              <w:rPr>
                <w:color w:val="FFFFFF" w:themeColor="background1"/>
              </w:rPr>
            </w:pPr>
            <w:r>
              <w:rPr>
                <w:color w:val="FFFFFF" w:themeColor="background1"/>
              </w:rPr>
              <w:t>Resource</w:t>
            </w:r>
          </w:p>
        </w:tc>
        <w:tc>
          <w:tcPr>
            <w:tcW w:w="2611" w:type="dxa"/>
          </w:tcPr>
          <w:p w14:paraId="17EBFBC1" w14:textId="75542104" w:rsidR="006855FC" w:rsidRPr="00A64E15" w:rsidRDefault="00A64E15" w:rsidP="006F1EB3">
            <w:pPr>
              <w:spacing w:before="240" w:after="36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Description</w:t>
            </w:r>
          </w:p>
        </w:tc>
        <w:tc>
          <w:tcPr>
            <w:tcW w:w="2970" w:type="dxa"/>
          </w:tcPr>
          <w:p w14:paraId="5325D329" w14:textId="247E6642" w:rsidR="006855FC" w:rsidRPr="00A64E15" w:rsidRDefault="00FB6ABC" w:rsidP="006F1EB3">
            <w:pPr>
              <w:spacing w:before="240" w:after="36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Contact Information</w:t>
            </w:r>
          </w:p>
        </w:tc>
        <w:tc>
          <w:tcPr>
            <w:tcW w:w="2214" w:type="dxa"/>
          </w:tcPr>
          <w:p w14:paraId="6D22A0A3" w14:textId="237C4188" w:rsidR="006855FC" w:rsidRPr="00FB6ABC" w:rsidRDefault="00FB6ABC" w:rsidP="006F1EB3">
            <w:pPr>
              <w:spacing w:before="240" w:after="36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Types of Resources</w:t>
            </w:r>
          </w:p>
        </w:tc>
      </w:tr>
      <w:tr w:rsidR="006855FC" w14:paraId="41489BD7" w14:textId="77777777" w:rsidTr="006B5573">
        <w:tc>
          <w:tcPr>
            <w:cnfStyle w:val="001000000000" w:firstRow="0" w:lastRow="0" w:firstColumn="1" w:lastColumn="0" w:oddVBand="0" w:evenVBand="0" w:oddHBand="0" w:evenHBand="0" w:firstRowFirstColumn="0" w:firstRowLastColumn="0" w:lastRowFirstColumn="0" w:lastRowLastColumn="0"/>
            <w:tcW w:w="2429" w:type="dxa"/>
          </w:tcPr>
          <w:p w14:paraId="22F45912" w14:textId="733975E1" w:rsidR="006855FC" w:rsidRPr="00FB6ABC" w:rsidRDefault="00E718DA" w:rsidP="00FB6ABC">
            <w:pPr>
              <w:spacing w:after="360"/>
              <w:jc w:val="left"/>
              <w:rPr>
                <w:sz w:val="20"/>
                <w:szCs w:val="20"/>
              </w:rPr>
            </w:pPr>
            <w:r>
              <w:rPr>
                <w:sz w:val="20"/>
                <w:szCs w:val="20"/>
              </w:rPr>
              <w:t>Office of Student Services</w:t>
            </w:r>
          </w:p>
        </w:tc>
        <w:tc>
          <w:tcPr>
            <w:tcW w:w="2611" w:type="dxa"/>
          </w:tcPr>
          <w:p w14:paraId="1309CA3A" w14:textId="16A68056" w:rsidR="006855FC" w:rsidRPr="00FB6ABC" w:rsidRDefault="00E718DA" w:rsidP="00FB6ABC">
            <w:pPr>
              <w:spacing w:after="360"/>
              <w:cnfStyle w:val="000000000000" w:firstRow="0" w:lastRow="0" w:firstColumn="0" w:lastColumn="0" w:oddVBand="0" w:evenVBand="0" w:oddHBand="0" w:evenHBand="0" w:firstRowFirstColumn="0" w:firstRowLastColumn="0" w:lastRowFirstColumn="0" w:lastRowLastColumn="0"/>
              <w:rPr>
                <w:b w:val="0"/>
                <w:bCs/>
                <w:sz w:val="20"/>
                <w:szCs w:val="20"/>
              </w:rPr>
            </w:pPr>
            <w:r>
              <w:rPr>
                <w:b w:val="0"/>
                <w:bCs/>
                <w:sz w:val="20"/>
                <w:szCs w:val="20"/>
              </w:rPr>
              <w:t>Office of Student Services</w:t>
            </w:r>
            <w:r w:rsidR="00FB6ABC">
              <w:rPr>
                <w:b w:val="0"/>
                <w:bCs/>
                <w:sz w:val="20"/>
                <w:szCs w:val="20"/>
              </w:rPr>
              <w:t xml:space="preserve"> handles student conduct issues and enforces No-Contact Orders.</w:t>
            </w:r>
          </w:p>
        </w:tc>
        <w:tc>
          <w:tcPr>
            <w:tcW w:w="2970" w:type="dxa"/>
          </w:tcPr>
          <w:p w14:paraId="5F8A71BF" w14:textId="72FC008D" w:rsidR="006855FC" w:rsidRDefault="00C75666" w:rsidP="00FB6ABC">
            <w:pPr>
              <w:spacing w:after="360"/>
              <w:cnfStyle w:val="000000000000" w:firstRow="0" w:lastRow="0" w:firstColumn="0" w:lastColumn="0" w:oddVBand="0" w:evenVBand="0" w:oddHBand="0" w:evenHBand="0" w:firstRowFirstColumn="0" w:firstRowLastColumn="0" w:lastRowFirstColumn="0" w:lastRowLastColumn="0"/>
              <w:rPr>
                <w:b w:val="0"/>
                <w:bCs/>
                <w:sz w:val="20"/>
                <w:szCs w:val="20"/>
              </w:rPr>
            </w:pPr>
            <w:r>
              <w:rPr>
                <w:b w:val="0"/>
                <w:bCs/>
                <w:sz w:val="20"/>
                <w:szCs w:val="20"/>
              </w:rPr>
              <w:t>(701) 627-80</w:t>
            </w:r>
            <w:r w:rsidR="005954C3">
              <w:rPr>
                <w:b w:val="0"/>
                <w:bCs/>
                <w:sz w:val="20"/>
                <w:szCs w:val="20"/>
              </w:rPr>
              <w:t>15</w:t>
            </w:r>
          </w:p>
          <w:p w14:paraId="799FDFDE" w14:textId="38DCE67C" w:rsidR="00EB059F" w:rsidRPr="00C75666" w:rsidRDefault="00EB059F" w:rsidP="00FB6ABC">
            <w:pPr>
              <w:spacing w:after="360"/>
              <w:cnfStyle w:val="000000000000" w:firstRow="0" w:lastRow="0" w:firstColumn="0" w:lastColumn="0" w:oddVBand="0" w:evenVBand="0" w:oddHBand="0" w:evenHBand="0" w:firstRowFirstColumn="0" w:firstRowLastColumn="0" w:lastRowFirstColumn="0" w:lastRowLastColumn="0"/>
              <w:rPr>
                <w:b w:val="0"/>
                <w:bCs/>
                <w:sz w:val="20"/>
                <w:szCs w:val="20"/>
              </w:rPr>
            </w:pPr>
            <w:r>
              <w:rPr>
                <w:b w:val="0"/>
                <w:bCs/>
                <w:sz w:val="20"/>
                <w:szCs w:val="20"/>
              </w:rPr>
              <w:t>Student Resource Building</w:t>
            </w:r>
          </w:p>
        </w:tc>
        <w:tc>
          <w:tcPr>
            <w:tcW w:w="2214" w:type="dxa"/>
          </w:tcPr>
          <w:p w14:paraId="055C4ED3" w14:textId="576F99C1" w:rsidR="006855FC" w:rsidRPr="00EB059F" w:rsidRDefault="00EB059F" w:rsidP="00FB6ABC">
            <w:pPr>
              <w:spacing w:after="360"/>
              <w:cnfStyle w:val="000000000000" w:firstRow="0" w:lastRow="0" w:firstColumn="0" w:lastColumn="0" w:oddVBand="0" w:evenVBand="0" w:oddHBand="0" w:evenHBand="0" w:firstRowFirstColumn="0" w:firstRowLastColumn="0" w:lastRowFirstColumn="0" w:lastRowLastColumn="0"/>
              <w:rPr>
                <w:b w:val="0"/>
                <w:bCs/>
                <w:sz w:val="20"/>
                <w:szCs w:val="20"/>
              </w:rPr>
            </w:pPr>
            <w:r>
              <w:rPr>
                <w:b w:val="0"/>
                <w:bCs/>
                <w:sz w:val="20"/>
                <w:szCs w:val="20"/>
              </w:rPr>
              <w:t>No-Contact Orders</w:t>
            </w:r>
          </w:p>
        </w:tc>
      </w:tr>
      <w:tr w:rsidR="006855FC" w14:paraId="6F02FAE6" w14:textId="77777777" w:rsidTr="006B5573">
        <w:tc>
          <w:tcPr>
            <w:cnfStyle w:val="001000000000" w:firstRow="0" w:lastRow="0" w:firstColumn="1" w:lastColumn="0" w:oddVBand="0" w:evenVBand="0" w:oddHBand="0" w:evenHBand="0" w:firstRowFirstColumn="0" w:firstRowLastColumn="0" w:lastRowFirstColumn="0" w:lastRowLastColumn="0"/>
            <w:tcW w:w="2429" w:type="dxa"/>
          </w:tcPr>
          <w:p w14:paraId="198F60DF" w14:textId="5238A1D9" w:rsidR="006855FC" w:rsidRPr="00EB059F" w:rsidRDefault="00EB059F" w:rsidP="00FB6ABC">
            <w:pPr>
              <w:spacing w:after="360"/>
              <w:jc w:val="left"/>
              <w:rPr>
                <w:sz w:val="20"/>
                <w:szCs w:val="20"/>
              </w:rPr>
            </w:pPr>
            <w:r>
              <w:rPr>
                <w:sz w:val="20"/>
                <w:szCs w:val="20"/>
              </w:rPr>
              <w:t>Office of Financial Aid and Scholarships</w:t>
            </w:r>
          </w:p>
        </w:tc>
        <w:tc>
          <w:tcPr>
            <w:tcW w:w="2611" w:type="dxa"/>
          </w:tcPr>
          <w:p w14:paraId="2C8415B7" w14:textId="5A269C74" w:rsidR="006855FC" w:rsidRPr="00EF3F78" w:rsidRDefault="00EF3F78" w:rsidP="00FB6ABC">
            <w:pPr>
              <w:spacing w:after="360"/>
              <w:cnfStyle w:val="000000000000" w:firstRow="0" w:lastRow="0" w:firstColumn="0" w:lastColumn="0" w:oddVBand="0" w:evenVBand="0" w:oddHBand="0" w:evenHBand="0" w:firstRowFirstColumn="0" w:firstRowLastColumn="0" w:lastRowFirstColumn="0" w:lastRowLastColumn="0"/>
              <w:rPr>
                <w:b w:val="0"/>
                <w:bCs/>
                <w:sz w:val="20"/>
                <w:szCs w:val="20"/>
              </w:rPr>
            </w:pPr>
            <w:r>
              <w:rPr>
                <w:b w:val="0"/>
                <w:bCs/>
                <w:sz w:val="20"/>
                <w:szCs w:val="20"/>
              </w:rPr>
              <w:t>The Financial Aid Office provides information and assistance with the various options for student financial aid.</w:t>
            </w:r>
          </w:p>
        </w:tc>
        <w:tc>
          <w:tcPr>
            <w:tcW w:w="2970" w:type="dxa"/>
          </w:tcPr>
          <w:p w14:paraId="00249EBE" w14:textId="4BD3AABB" w:rsidR="006855FC" w:rsidRDefault="008A59D7" w:rsidP="00FB6ABC">
            <w:pPr>
              <w:spacing w:after="360"/>
              <w:cnfStyle w:val="000000000000" w:firstRow="0" w:lastRow="0" w:firstColumn="0" w:lastColumn="0" w:oddVBand="0" w:evenVBand="0" w:oddHBand="0" w:evenHBand="0" w:firstRowFirstColumn="0" w:firstRowLastColumn="0" w:lastRowFirstColumn="0" w:lastRowLastColumn="0"/>
              <w:rPr>
                <w:b w:val="0"/>
                <w:bCs/>
                <w:sz w:val="20"/>
                <w:szCs w:val="20"/>
              </w:rPr>
            </w:pPr>
            <w:r>
              <w:rPr>
                <w:b w:val="0"/>
                <w:bCs/>
                <w:sz w:val="20"/>
                <w:szCs w:val="20"/>
              </w:rPr>
              <w:t xml:space="preserve">(701) </w:t>
            </w:r>
            <w:r w:rsidR="005954C3">
              <w:rPr>
                <w:b w:val="0"/>
                <w:bCs/>
                <w:sz w:val="20"/>
                <w:szCs w:val="20"/>
              </w:rPr>
              <w:t>627-</w:t>
            </w:r>
            <w:r w:rsidR="00D936A8">
              <w:rPr>
                <w:b w:val="0"/>
                <w:bCs/>
                <w:sz w:val="20"/>
                <w:szCs w:val="20"/>
              </w:rPr>
              <w:t>8031</w:t>
            </w:r>
          </w:p>
          <w:p w14:paraId="6241EAFD" w14:textId="71A82F15" w:rsidR="008A59D7" w:rsidRPr="008A59D7" w:rsidRDefault="008A59D7" w:rsidP="00FB6ABC">
            <w:pPr>
              <w:spacing w:after="360"/>
              <w:cnfStyle w:val="000000000000" w:firstRow="0" w:lastRow="0" w:firstColumn="0" w:lastColumn="0" w:oddVBand="0" w:evenVBand="0" w:oddHBand="0" w:evenHBand="0" w:firstRowFirstColumn="0" w:firstRowLastColumn="0" w:lastRowFirstColumn="0" w:lastRowLastColumn="0"/>
              <w:rPr>
                <w:b w:val="0"/>
                <w:bCs/>
                <w:sz w:val="20"/>
                <w:szCs w:val="20"/>
              </w:rPr>
            </w:pPr>
          </w:p>
        </w:tc>
        <w:tc>
          <w:tcPr>
            <w:tcW w:w="2214" w:type="dxa"/>
          </w:tcPr>
          <w:p w14:paraId="15E0E020" w14:textId="7C8C954B" w:rsidR="006855FC" w:rsidRPr="008A59D7" w:rsidRDefault="008A59D7" w:rsidP="00FB6ABC">
            <w:pPr>
              <w:spacing w:after="360"/>
              <w:cnfStyle w:val="000000000000" w:firstRow="0" w:lastRow="0" w:firstColumn="0" w:lastColumn="0" w:oddVBand="0" w:evenVBand="0" w:oddHBand="0" w:evenHBand="0" w:firstRowFirstColumn="0" w:firstRowLastColumn="0" w:lastRowFirstColumn="0" w:lastRowLastColumn="0"/>
              <w:rPr>
                <w:b w:val="0"/>
                <w:bCs/>
                <w:sz w:val="20"/>
                <w:szCs w:val="20"/>
              </w:rPr>
            </w:pPr>
            <w:r>
              <w:rPr>
                <w:b w:val="0"/>
                <w:bCs/>
                <w:sz w:val="20"/>
                <w:szCs w:val="20"/>
              </w:rPr>
              <w:t>Student financial aid consultation</w:t>
            </w:r>
          </w:p>
        </w:tc>
      </w:tr>
      <w:tr w:rsidR="00FB6ABC" w14:paraId="0A697F96" w14:textId="77777777" w:rsidTr="006B5573">
        <w:tc>
          <w:tcPr>
            <w:cnfStyle w:val="001000000000" w:firstRow="0" w:lastRow="0" w:firstColumn="1" w:lastColumn="0" w:oddVBand="0" w:evenVBand="0" w:oddHBand="0" w:evenHBand="0" w:firstRowFirstColumn="0" w:firstRowLastColumn="0" w:lastRowFirstColumn="0" w:lastRowLastColumn="0"/>
            <w:tcW w:w="2429" w:type="dxa"/>
          </w:tcPr>
          <w:p w14:paraId="5CCDCC61" w14:textId="794D53F5" w:rsidR="00FB6ABC" w:rsidRPr="00F44FA8" w:rsidRDefault="00F44FA8" w:rsidP="00F44FA8">
            <w:pPr>
              <w:spacing w:after="360"/>
              <w:jc w:val="left"/>
              <w:rPr>
                <w:sz w:val="20"/>
                <w:szCs w:val="20"/>
              </w:rPr>
            </w:pPr>
            <w:r>
              <w:rPr>
                <w:sz w:val="20"/>
                <w:szCs w:val="20"/>
              </w:rPr>
              <w:t xml:space="preserve">Human Resources </w:t>
            </w:r>
          </w:p>
        </w:tc>
        <w:tc>
          <w:tcPr>
            <w:tcW w:w="2611" w:type="dxa"/>
          </w:tcPr>
          <w:p w14:paraId="5E2699E6" w14:textId="6896F2D3" w:rsidR="00FB6ABC" w:rsidRPr="00F44FA8" w:rsidRDefault="00F44FA8" w:rsidP="00FB6ABC">
            <w:pPr>
              <w:spacing w:after="360"/>
              <w:cnfStyle w:val="000000000000" w:firstRow="0" w:lastRow="0" w:firstColumn="0" w:lastColumn="0" w:oddVBand="0" w:evenVBand="0" w:oddHBand="0" w:evenHBand="0" w:firstRowFirstColumn="0" w:firstRowLastColumn="0" w:lastRowFirstColumn="0" w:lastRowLastColumn="0"/>
              <w:rPr>
                <w:b w:val="0"/>
                <w:bCs/>
                <w:sz w:val="20"/>
                <w:szCs w:val="20"/>
              </w:rPr>
            </w:pPr>
            <w:r>
              <w:rPr>
                <w:b w:val="0"/>
                <w:bCs/>
                <w:sz w:val="20"/>
                <w:szCs w:val="20"/>
              </w:rPr>
              <w:t xml:space="preserve">Human Resources provides </w:t>
            </w:r>
            <w:r w:rsidR="006B5573">
              <w:rPr>
                <w:b w:val="0"/>
                <w:bCs/>
                <w:sz w:val="20"/>
                <w:szCs w:val="20"/>
              </w:rPr>
              <w:t>information and resources related to ASAP, benefits, career management, compensation, disability, labor relations, training, and more.</w:t>
            </w:r>
          </w:p>
        </w:tc>
        <w:tc>
          <w:tcPr>
            <w:tcW w:w="2970" w:type="dxa"/>
          </w:tcPr>
          <w:p w14:paraId="75AFB912" w14:textId="5B9E572D" w:rsidR="00FB6ABC" w:rsidRDefault="006B5573" w:rsidP="00FB6ABC">
            <w:pPr>
              <w:spacing w:after="360"/>
              <w:cnfStyle w:val="000000000000" w:firstRow="0" w:lastRow="0" w:firstColumn="0" w:lastColumn="0" w:oddVBand="0" w:evenVBand="0" w:oddHBand="0" w:evenHBand="0" w:firstRowFirstColumn="0" w:firstRowLastColumn="0" w:lastRowFirstColumn="0" w:lastRowLastColumn="0"/>
              <w:rPr>
                <w:b w:val="0"/>
                <w:bCs/>
                <w:sz w:val="20"/>
                <w:szCs w:val="20"/>
              </w:rPr>
            </w:pPr>
            <w:r>
              <w:rPr>
                <w:b w:val="0"/>
                <w:bCs/>
                <w:sz w:val="20"/>
                <w:szCs w:val="20"/>
              </w:rPr>
              <w:t xml:space="preserve">(701) </w:t>
            </w:r>
            <w:r w:rsidR="00D936A8">
              <w:rPr>
                <w:b w:val="0"/>
                <w:bCs/>
                <w:sz w:val="20"/>
                <w:szCs w:val="20"/>
              </w:rPr>
              <w:t>627-8042</w:t>
            </w:r>
          </w:p>
          <w:p w14:paraId="09EB05A4" w14:textId="1D797DC1" w:rsidR="006B5573" w:rsidRPr="006B5573" w:rsidRDefault="006B5573" w:rsidP="00FB6ABC">
            <w:pPr>
              <w:spacing w:after="360"/>
              <w:cnfStyle w:val="000000000000" w:firstRow="0" w:lastRow="0" w:firstColumn="0" w:lastColumn="0" w:oddVBand="0" w:evenVBand="0" w:oddHBand="0" w:evenHBand="0" w:firstRowFirstColumn="0" w:firstRowLastColumn="0" w:lastRowFirstColumn="0" w:lastRowLastColumn="0"/>
              <w:rPr>
                <w:b w:val="0"/>
                <w:bCs/>
                <w:sz w:val="20"/>
                <w:szCs w:val="20"/>
              </w:rPr>
            </w:pPr>
          </w:p>
        </w:tc>
        <w:tc>
          <w:tcPr>
            <w:tcW w:w="2214" w:type="dxa"/>
          </w:tcPr>
          <w:p w14:paraId="18442C70" w14:textId="5891350B" w:rsidR="00FB6ABC" w:rsidRPr="00C050B0" w:rsidRDefault="00C050B0" w:rsidP="00FB6ABC">
            <w:pPr>
              <w:spacing w:after="360"/>
              <w:cnfStyle w:val="000000000000" w:firstRow="0" w:lastRow="0" w:firstColumn="0" w:lastColumn="0" w:oddVBand="0" w:evenVBand="0" w:oddHBand="0" w:evenHBand="0" w:firstRowFirstColumn="0" w:firstRowLastColumn="0" w:lastRowFirstColumn="0" w:lastRowLastColumn="0"/>
              <w:rPr>
                <w:b w:val="0"/>
                <w:bCs/>
                <w:sz w:val="20"/>
                <w:szCs w:val="20"/>
              </w:rPr>
            </w:pPr>
            <w:r>
              <w:rPr>
                <w:b w:val="0"/>
                <w:bCs/>
                <w:sz w:val="20"/>
                <w:szCs w:val="20"/>
              </w:rPr>
              <w:t>Employment-related consultation</w:t>
            </w:r>
          </w:p>
        </w:tc>
      </w:tr>
    </w:tbl>
    <w:p w14:paraId="6B7A14C4" w14:textId="78C433E3" w:rsidR="006855FC" w:rsidRDefault="006855FC" w:rsidP="006F1EB3">
      <w:pPr>
        <w:spacing w:before="240" w:after="360"/>
        <w:rPr>
          <w:color w:val="0072C6" w:themeColor="accent1"/>
        </w:rPr>
      </w:pPr>
    </w:p>
    <w:p w14:paraId="2FE78109" w14:textId="49E68227" w:rsidR="00D851C6" w:rsidRDefault="00D851C6" w:rsidP="006F1EB3">
      <w:pPr>
        <w:spacing w:before="240" w:after="360"/>
        <w:rPr>
          <w:color w:val="0072C6" w:themeColor="accent1"/>
        </w:rPr>
      </w:pPr>
      <w:r>
        <w:rPr>
          <w:color w:val="0072C6" w:themeColor="accent1"/>
        </w:rPr>
        <w:t>Community/National Resources</w:t>
      </w:r>
    </w:p>
    <w:tbl>
      <w:tblPr>
        <w:tblStyle w:val="BusinessPaper"/>
        <w:tblW w:w="0" w:type="auto"/>
        <w:tblLook w:val="04A0" w:firstRow="1" w:lastRow="0" w:firstColumn="1" w:lastColumn="0" w:noHBand="0" w:noVBand="1"/>
      </w:tblPr>
      <w:tblGrid>
        <w:gridCol w:w="2199"/>
        <w:gridCol w:w="3095"/>
        <w:gridCol w:w="2765"/>
        <w:gridCol w:w="2165"/>
      </w:tblGrid>
      <w:tr w:rsidR="00D851C6" w14:paraId="663A0244" w14:textId="77777777" w:rsidTr="00ED6A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99" w:type="dxa"/>
          </w:tcPr>
          <w:p w14:paraId="540B3A68" w14:textId="334B2854" w:rsidR="00D851C6" w:rsidRPr="00E7220E" w:rsidRDefault="00E7220E" w:rsidP="006F1EB3">
            <w:pPr>
              <w:spacing w:before="240" w:after="360"/>
              <w:rPr>
                <w:color w:val="FFFFFF" w:themeColor="background1"/>
              </w:rPr>
            </w:pPr>
            <w:r>
              <w:rPr>
                <w:color w:val="FFFFFF" w:themeColor="background1"/>
              </w:rPr>
              <w:lastRenderedPageBreak/>
              <w:t>Resources</w:t>
            </w:r>
          </w:p>
        </w:tc>
        <w:tc>
          <w:tcPr>
            <w:tcW w:w="3095" w:type="dxa"/>
          </w:tcPr>
          <w:p w14:paraId="4DCC9BB2" w14:textId="074AC879" w:rsidR="00D851C6" w:rsidRPr="00E7220E" w:rsidRDefault="00E7220E" w:rsidP="006F1EB3">
            <w:pPr>
              <w:spacing w:before="240" w:after="36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Description</w:t>
            </w:r>
          </w:p>
        </w:tc>
        <w:tc>
          <w:tcPr>
            <w:tcW w:w="2765" w:type="dxa"/>
          </w:tcPr>
          <w:p w14:paraId="3D7DD56E" w14:textId="0F2644CF" w:rsidR="00D851C6" w:rsidRPr="00E7220E" w:rsidRDefault="00E7220E" w:rsidP="006F1EB3">
            <w:pPr>
              <w:spacing w:before="240" w:after="36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Contact Information</w:t>
            </w:r>
          </w:p>
        </w:tc>
        <w:tc>
          <w:tcPr>
            <w:tcW w:w="2165" w:type="dxa"/>
          </w:tcPr>
          <w:p w14:paraId="1F71A7AB" w14:textId="09D22537" w:rsidR="00D851C6" w:rsidRPr="00E7220E" w:rsidRDefault="00551C35" w:rsidP="006F1EB3">
            <w:pPr>
              <w:spacing w:before="240" w:after="36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Types of Resources</w:t>
            </w:r>
          </w:p>
        </w:tc>
      </w:tr>
      <w:tr w:rsidR="00D851C6" w14:paraId="5898B2EF" w14:textId="77777777" w:rsidTr="00ED6AFC">
        <w:tc>
          <w:tcPr>
            <w:cnfStyle w:val="001000000000" w:firstRow="0" w:lastRow="0" w:firstColumn="1" w:lastColumn="0" w:oddVBand="0" w:evenVBand="0" w:oddHBand="0" w:evenHBand="0" w:firstRowFirstColumn="0" w:firstRowLastColumn="0" w:lastRowFirstColumn="0" w:lastRowLastColumn="0"/>
            <w:tcW w:w="2199" w:type="dxa"/>
          </w:tcPr>
          <w:p w14:paraId="5A75DEEA" w14:textId="5DFFAE6C" w:rsidR="00D851C6" w:rsidRPr="00C04C5F" w:rsidRDefault="00A305C5" w:rsidP="00551C35">
            <w:pPr>
              <w:spacing w:after="360"/>
              <w:jc w:val="left"/>
              <w:rPr>
                <w:sz w:val="20"/>
                <w:szCs w:val="20"/>
              </w:rPr>
            </w:pPr>
            <w:r>
              <w:rPr>
                <w:sz w:val="20"/>
                <w:szCs w:val="20"/>
              </w:rPr>
              <w:t>TAT Victim Services</w:t>
            </w:r>
          </w:p>
        </w:tc>
        <w:tc>
          <w:tcPr>
            <w:tcW w:w="3095" w:type="dxa"/>
          </w:tcPr>
          <w:p w14:paraId="76F5ACA4" w14:textId="3DF91824" w:rsidR="00D851C6" w:rsidRPr="00C04C5F" w:rsidRDefault="006D1840" w:rsidP="00551C35">
            <w:pPr>
              <w:spacing w:after="360"/>
              <w:cnfStyle w:val="000000000000" w:firstRow="0" w:lastRow="0" w:firstColumn="0" w:lastColumn="0" w:oddVBand="0" w:evenVBand="0" w:oddHBand="0" w:evenHBand="0" w:firstRowFirstColumn="0" w:firstRowLastColumn="0" w:lastRowFirstColumn="0" w:lastRowLastColumn="0"/>
              <w:rPr>
                <w:b w:val="0"/>
                <w:bCs/>
                <w:sz w:val="20"/>
                <w:szCs w:val="20"/>
              </w:rPr>
            </w:pPr>
            <w:r>
              <w:rPr>
                <w:b w:val="0"/>
                <w:bCs/>
                <w:sz w:val="20"/>
                <w:szCs w:val="20"/>
              </w:rPr>
              <w:t>P</w:t>
            </w:r>
            <w:r w:rsidR="00C04C5F" w:rsidRPr="00C04C5F">
              <w:rPr>
                <w:b w:val="0"/>
                <w:bCs/>
                <w:sz w:val="20"/>
                <w:szCs w:val="20"/>
              </w:rPr>
              <w:t xml:space="preserve">rovides </w:t>
            </w:r>
            <w:r w:rsidR="00355150">
              <w:rPr>
                <w:b w:val="0"/>
                <w:bCs/>
                <w:sz w:val="20"/>
                <w:szCs w:val="20"/>
              </w:rPr>
              <w:t xml:space="preserve">victims with </w:t>
            </w:r>
            <w:r w:rsidR="00AC137F">
              <w:rPr>
                <w:b w:val="0"/>
                <w:bCs/>
                <w:sz w:val="20"/>
                <w:szCs w:val="20"/>
              </w:rPr>
              <w:t>support, and</w:t>
            </w:r>
            <w:r w:rsidR="00355150">
              <w:rPr>
                <w:b w:val="0"/>
                <w:bCs/>
                <w:sz w:val="20"/>
                <w:szCs w:val="20"/>
              </w:rPr>
              <w:t xml:space="preserve"> confidential shelter.</w:t>
            </w:r>
          </w:p>
        </w:tc>
        <w:tc>
          <w:tcPr>
            <w:tcW w:w="2765" w:type="dxa"/>
          </w:tcPr>
          <w:p w14:paraId="2E886A9A" w14:textId="7E00B0D2" w:rsidR="00BA5BDA" w:rsidRDefault="003810D9" w:rsidP="00BA5BDA">
            <w:pPr>
              <w:spacing w:after="360"/>
              <w:cnfStyle w:val="000000000000" w:firstRow="0" w:lastRow="0" w:firstColumn="0" w:lastColumn="0" w:oddVBand="0" w:evenVBand="0" w:oddHBand="0" w:evenHBand="0" w:firstRowFirstColumn="0" w:firstRowLastColumn="0" w:lastRowFirstColumn="0" w:lastRowLastColumn="0"/>
              <w:rPr>
                <w:b w:val="0"/>
                <w:bCs/>
                <w:sz w:val="20"/>
                <w:szCs w:val="20"/>
              </w:rPr>
            </w:pPr>
            <w:r>
              <w:rPr>
                <w:b w:val="0"/>
                <w:bCs/>
                <w:sz w:val="20"/>
                <w:szCs w:val="20"/>
              </w:rPr>
              <w:t xml:space="preserve">(701) </w:t>
            </w:r>
            <w:r w:rsidR="006F4E27">
              <w:rPr>
                <w:b w:val="0"/>
                <w:bCs/>
                <w:sz w:val="20"/>
                <w:szCs w:val="20"/>
              </w:rPr>
              <w:t>627-4171</w:t>
            </w:r>
          </w:p>
          <w:p w14:paraId="49ED1686" w14:textId="0798E860" w:rsidR="00B549A4" w:rsidRPr="00B549A4" w:rsidRDefault="00B549A4" w:rsidP="00BA5BDA">
            <w:pPr>
              <w:spacing w:after="360"/>
              <w:cnfStyle w:val="000000000000" w:firstRow="0" w:lastRow="0" w:firstColumn="0" w:lastColumn="0" w:oddVBand="0" w:evenVBand="0" w:oddHBand="0" w:evenHBand="0" w:firstRowFirstColumn="0" w:firstRowLastColumn="0" w:lastRowFirstColumn="0" w:lastRowLastColumn="0"/>
              <w:rPr>
                <w:b w:val="0"/>
                <w:bCs/>
                <w:sz w:val="20"/>
                <w:szCs w:val="20"/>
              </w:rPr>
            </w:pPr>
          </w:p>
        </w:tc>
        <w:tc>
          <w:tcPr>
            <w:tcW w:w="2165" w:type="dxa"/>
          </w:tcPr>
          <w:p w14:paraId="59A02431" w14:textId="77777777" w:rsidR="00D851C6" w:rsidRDefault="00BA5BDA" w:rsidP="00551C35">
            <w:pPr>
              <w:spacing w:after="360"/>
              <w:cnfStyle w:val="000000000000" w:firstRow="0" w:lastRow="0" w:firstColumn="0" w:lastColumn="0" w:oddVBand="0" w:evenVBand="0" w:oddHBand="0" w:evenHBand="0" w:firstRowFirstColumn="0" w:firstRowLastColumn="0" w:lastRowFirstColumn="0" w:lastRowLastColumn="0"/>
              <w:rPr>
                <w:b w:val="0"/>
                <w:bCs/>
                <w:sz w:val="20"/>
                <w:szCs w:val="20"/>
              </w:rPr>
            </w:pPr>
            <w:r>
              <w:rPr>
                <w:b w:val="0"/>
                <w:bCs/>
                <w:sz w:val="20"/>
                <w:szCs w:val="20"/>
              </w:rPr>
              <w:t>Victim advocacy</w:t>
            </w:r>
          </w:p>
          <w:p w14:paraId="45AC52B7" w14:textId="77777777" w:rsidR="00BD3A38" w:rsidRDefault="00BD3A38" w:rsidP="00551C35">
            <w:pPr>
              <w:spacing w:after="360"/>
              <w:cnfStyle w:val="000000000000" w:firstRow="0" w:lastRow="0" w:firstColumn="0" w:lastColumn="0" w:oddVBand="0" w:evenVBand="0" w:oddHBand="0" w:evenHBand="0" w:firstRowFirstColumn="0" w:firstRowLastColumn="0" w:lastRowFirstColumn="0" w:lastRowLastColumn="0"/>
              <w:rPr>
                <w:b w:val="0"/>
                <w:bCs/>
                <w:sz w:val="20"/>
                <w:szCs w:val="20"/>
              </w:rPr>
            </w:pPr>
            <w:r>
              <w:rPr>
                <w:b w:val="0"/>
                <w:bCs/>
                <w:sz w:val="20"/>
                <w:szCs w:val="20"/>
              </w:rPr>
              <w:t>Confidential counseling</w:t>
            </w:r>
          </w:p>
          <w:p w14:paraId="767D3DE0" w14:textId="01DDAFE0" w:rsidR="00BD3A38" w:rsidRDefault="00BD3A38" w:rsidP="00551C35">
            <w:pPr>
              <w:spacing w:after="360"/>
              <w:cnfStyle w:val="000000000000" w:firstRow="0" w:lastRow="0" w:firstColumn="0" w:lastColumn="0" w:oddVBand="0" w:evenVBand="0" w:oddHBand="0" w:evenHBand="0" w:firstRowFirstColumn="0" w:firstRowLastColumn="0" w:lastRowFirstColumn="0" w:lastRowLastColumn="0"/>
              <w:rPr>
                <w:b w:val="0"/>
                <w:bCs/>
                <w:sz w:val="20"/>
                <w:szCs w:val="20"/>
              </w:rPr>
            </w:pPr>
            <w:r>
              <w:rPr>
                <w:b w:val="0"/>
                <w:bCs/>
                <w:sz w:val="20"/>
                <w:szCs w:val="20"/>
              </w:rPr>
              <w:t>Counseling referrals</w:t>
            </w:r>
          </w:p>
          <w:p w14:paraId="0B0ADB3C" w14:textId="77777777" w:rsidR="00BD3A38" w:rsidRDefault="00BD3A38" w:rsidP="00551C35">
            <w:pPr>
              <w:spacing w:after="360"/>
              <w:cnfStyle w:val="000000000000" w:firstRow="0" w:lastRow="0" w:firstColumn="0" w:lastColumn="0" w:oddVBand="0" w:evenVBand="0" w:oddHBand="0" w:evenHBand="0" w:firstRowFirstColumn="0" w:firstRowLastColumn="0" w:lastRowFirstColumn="0" w:lastRowLastColumn="0"/>
              <w:rPr>
                <w:b w:val="0"/>
                <w:bCs/>
                <w:sz w:val="20"/>
                <w:szCs w:val="20"/>
              </w:rPr>
            </w:pPr>
            <w:r>
              <w:rPr>
                <w:b w:val="0"/>
                <w:bCs/>
                <w:sz w:val="20"/>
                <w:szCs w:val="20"/>
              </w:rPr>
              <w:t>Legal referrals</w:t>
            </w:r>
          </w:p>
          <w:p w14:paraId="2785F1C4" w14:textId="440252F7" w:rsidR="00BD3A38" w:rsidRPr="00BA5BDA" w:rsidRDefault="00BD3A38" w:rsidP="00551C35">
            <w:pPr>
              <w:spacing w:after="360"/>
              <w:cnfStyle w:val="000000000000" w:firstRow="0" w:lastRow="0" w:firstColumn="0" w:lastColumn="0" w:oddVBand="0" w:evenVBand="0" w:oddHBand="0" w:evenHBand="0" w:firstRowFirstColumn="0" w:firstRowLastColumn="0" w:lastRowFirstColumn="0" w:lastRowLastColumn="0"/>
              <w:rPr>
                <w:b w:val="0"/>
                <w:bCs/>
                <w:sz w:val="20"/>
                <w:szCs w:val="20"/>
              </w:rPr>
            </w:pPr>
            <w:r>
              <w:rPr>
                <w:b w:val="0"/>
                <w:bCs/>
                <w:sz w:val="20"/>
                <w:szCs w:val="20"/>
              </w:rPr>
              <w:t>Housing</w:t>
            </w:r>
            <w:r w:rsidR="00144FCC">
              <w:rPr>
                <w:b w:val="0"/>
                <w:bCs/>
                <w:sz w:val="20"/>
                <w:szCs w:val="20"/>
              </w:rPr>
              <w:t xml:space="preserve"> resources</w:t>
            </w:r>
          </w:p>
        </w:tc>
      </w:tr>
      <w:tr w:rsidR="00144FCC" w:rsidRPr="00144FCC" w14:paraId="3B3D243C" w14:textId="77777777" w:rsidTr="00ED6AFC">
        <w:tc>
          <w:tcPr>
            <w:cnfStyle w:val="001000000000" w:firstRow="0" w:lastRow="0" w:firstColumn="1" w:lastColumn="0" w:oddVBand="0" w:evenVBand="0" w:oddHBand="0" w:evenHBand="0" w:firstRowFirstColumn="0" w:firstRowLastColumn="0" w:lastRowFirstColumn="0" w:lastRowLastColumn="0"/>
            <w:tcW w:w="2199" w:type="dxa"/>
          </w:tcPr>
          <w:p w14:paraId="5D8D9FA2" w14:textId="6039BD57" w:rsidR="00D851C6" w:rsidRPr="00A47FDE" w:rsidRDefault="00D851C6" w:rsidP="00551C35">
            <w:pPr>
              <w:spacing w:after="360"/>
              <w:jc w:val="left"/>
              <w:rPr>
                <w:sz w:val="20"/>
                <w:szCs w:val="20"/>
              </w:rPr>
            </w:pPr>
          </w:p>
        </w:tc>
        <w:tc>
          <w:tcPr>
            <w:tcW w:w="3095" w:type="dxa"/>
          </w:tcPr>
          <w:p w14:paraId="1D31E305" w14:textId="69CADF46" w:rsidR="0056176F" w:rsidRPr="00A47FDE" w:rsidRDefault="0056176F" w:rsidP="00551C35">
            <w:pPr>
              <w:spacing w:after="360"/>
              <w:cnfStyle w:val="000000000000" w:firstRow="0" w:lastRow="0" w:firstColumn="0" w:lastColumn="0" w:oddVBand="0" w:evenVBand="0" w:oddHBand="0" w:evenHBand="0" w:firstRowFirstColumn="0" w:firstRowLastColumn="0" w:lastRowFirstColumn="0" w:lastRowLastColumn="0"/>
              <w:rPr>
                <w:b w:val="0"/>
                <w:sz w:val="20"/>
                <w:szCs w:val="20"/>
              </w:rPr>
            </w:pPr>
          </w:p>
        </w:tc>
        <w:tc>
          <w:tcPr>
            <w:tcW w:w="2765" w:type="dxa"/>
          </w:tcPr>
          <w:p w14:paraId="1DDEF024" w14:textId="1542038E" w:rsidR="00DB3CFA" w:rsidRPr="00144FCC" w:rsidRDefault="00DB3CFA" w:rsidP="00551C35">
            <w:pPr>
              <w:spacing w:after="360"/>
              <w:cnfStyle w:val="000000000000" w:firstRow="0" w:lastRow="0" w:firstColumn="0" w:lastColumn="0" w:oddVBand="0" w:evenVBand="0" w:oddHBand="0" w:evenHBand="0" w:firstRowFirstColumn="0" w:firstRowLastColumn="0" w:lastRowFirstColumn="0" w:lastRowLastColumn="0"/>
              <w:rPr>
                <w:b w:val="0"/>
                <w:sz w:val="20"/>
                <w:szCs w:val="20"/>
              </w:rPr>
            </w:pPr>
          </w:p>
        </w:tc>
        <w:tc>
          <w:tcPr>
            <w:tcW w:w="2165" w:type="dxa"/>
          </w:tcPr>
          <w:p w14:paraId="0CAF46D5" w14:textId="208F0ED8" w:rsidR="00D851C6" w:rsidRPr="00144FCC" w:rsidRDefault="00D851C6" w:rsidP="00551C35">
            <w:pPr>
              <w:spacing w:after="360"/>
              <w:cnfStyle w:val="000000000000" w:firstRow="0" w:lastRow="0" w:firstColumn="0" w:lastColumn="0" w:oddVBand="0" w:evenVBand="0" w:oddHBand="0" w:evenHBand="0" w:firstRowFirstColumn="0" w:firstRowLastColumn="0" w:lastRowFirstColumn="0" w:lastRowLastColumn="0"/>
              <w:rPr>
                <w:b w:val="0"/>
                <w:sz w:val="20"/>
                <w:szCs w:val="20"/>
              </w:rPr>
            </w:pPr>
          </w:p>
        </w:tc>
      </w:tr>
      <w:tr w:rsidR="00144FCC" w:rsidRPr="00144FCC" w14:paraId="1ECD3A90" w14:textId="77777777" w:rsidTr="00ED6AFC">
        <w:tc>
          <w:tcPr>
            <w:cnfStyle w:val="001000000000" w:firstRow="0" w:lastRow="0" w:firstColumn="1" w:lastColumn="0" w:oddVBand="0" w:evenVBand="0" w:oddHBand="0" w:evenHBand="0" w:firstRowFirstColumn="0" w:firstRowLastColumn="0" w:lastRowFirstColumn="0" w:lastRowLastColumn="0"/>
            <w:tcW w:w="2199" w:type="dxa"/>
          </w:tcPr>
          <w:p w14:paraId="33A3D6E2" w14:textId="5D979561" w:rsidR="00D851C6" w:rsidRPr="00144FCC" w:rsidRDefault="001F2436" w:rsidP="00551C35">
            <w:pPr>
              <w:spacing w:after="360"/>
              <w:jc w:val="left"/>
              <w:rPr>
                <w:sz w:val="20"/>
                <w:szCs w:val="20"/>
              </w:rPr>
            </w:pPr>
            <w:r>
              <w:rPr>
                <w:sz w:val="20"/>
                <w:szCs w:val="20"/>
              </w:rPr>
              <w:t>U.S. Citizenship and immigration Services (USCIS</w:t>
            </w:r>
            <w:r w:rsidR="001F4F13">
              <w:rPr>
                <w:sz w:val="20"/>
                <w:szCs w:val="20"/>
              </w:rPr>
              <w:t>)</w:t>
            </w:r>
          </w:p>
        </w:tc>
        <w:tc>
          <w:tcPr>
            <w:tcW w:w="3095" w:type="dxa"/>
          </w:tcPr>
          <w:p w14:paraId="2F7761B6" w14:textId="748BFEB0" w:rsidR="00D851C6" w:rsidRPr="00144FCC" w:rsidRDefault="001F4F13" w:rsidP="00551C35">
            <w:pPr>
              <w:spacing w:after="360"/>
              <w:cnfStyle w:val="000000000000" w:firstRow="0" w:lastRow="0" w:firstColumn="0" w:lastColumn="0" w:oddVBand="0" w:evenVBand="0" w:oddHBand="0" w:evenHBand="0" w:firstRowFirstColumn="0" w:firstRowLastColumn="0" w:lastRowFirstColumn="0" w:lastRowLastColumn="0"/>
              <w:rPr>
                <w:b w:val="0"/>
                <w:sz w:val="20"/>
                <w:szCs w:val="20"/>
              </w:rPr>
            </w:pPr>
            <w:r>
              <w:rPr>
                <w:b w:val="0"/>
                <w:sz w:val="20"/>
                <w:szCs w:val="20"/>
              </w:rPr>
              <w:t>USCIS provides a number of humanitarian</w:t>
            </w:r>
            <w:r w:rsidR="00784FCA">
              <w:rPr>
                <w:b w:val="0"/>
                <w:sz w:val="20"/>
                <w:szCs w:val="20"/>
              </w:rPr>
              <w:t xml:space="preserve"> programs and protection to assist individuals in need of shelter or aid due to urgent circumstances, including issuing U and T visas for victims of certain crimes.</w:t>
            </w:r>
          </w:p>
        </w:tc>
        <w:tc>
          <w:tcPr>
            <w:tcW w:w="2765" w:type="dxa"/>
          </w:tcPr>
          <w:p w14:paraId="654EA53C" w14:textId="6C50B040" w:rsidR="00D851C6" w:rsidRDefault="009D7CD7" w:rsidP="00551C35">
            <w:pPr>
              <w:spacing w:after="360"/>
              <w:cnfStyle w:val="000000000000" w:firstRow="0" w:lastRow="0" w:firstColumn="0" w:lastColumn="0" w:oddVBand="0" w:evenVBand="0" w:oddHBand="0" w:evenHBand="0" w:firstRowFirstColumn="0" w:firstRowLastColumn="0" w:lastRowFirstColumn="0" w:lastRowLastColumn="0"/>
              <w:rPr>
                <w:b w:val="0"/>
                <w:color w:val="DC3C00" w:themeColor="accent3"/>
                <w:sz w:val="20"/>
                <w:szCs w:val="20"/>
              </w:rPr>
            </w:pPr>
            <w:r>
              <w:rPr>
                <w:b w:val="0"/>
                <w:sz w:val="20"/>
                <w:szCs w:val="20"/>
              </w:rPr>
              <w:t xml:space="preserve">1-800-375-5283 </w:t>
            </w:r>
          </w:p>
          <w:p w14:paraId="11EC5325" w14:textId="5F780BD1" w:rsidR="00104263" w:rsidRPr="00104263" w:rsidRDefault="00104263" w:rsidP="00551C35">
            <w:pPr>
              <w:spacing w:after="360"/>
              <w:cnfStyle w:val="000000000000" w:firstRow="0" w:lastRow="0" w:firstColumn="0" w:lastColumn="0" w:oddVBand="0" w:evenVBand="0" w:oddHBand="0" w:evenHBand="0" w:firstRowFirstColumn="0" w:firstRowLastColumn="0" w:lastRowFirstColumn="0" w:lastRowLastColumn="0"/>
              <w:rPr>
                <w:b w:val="0"/>
                <w:sz w:val="20"/>
                <w:szCs w:val="20"/>
              </w:rPr>
            </w:pPr>
            <w:r>
              <w:rPr>
                <w:b w:val="0"/>
                <w:sz w:val="20"/>
                <w:szCs w:val="20"/>
              </w:rPr>
              <w:t>www.uscis.gov/humanitarian</w:t>
            </w:r>
          </w:p>
        </w:tc>
        <w:tc>
          <w:tcPr>
            <w:tcW w:w="2165" w:type="dxa"/>
          </w:tcPr>
          <w:p w14:paraId="5C2D8CC0" w14:textId="77777777" w:rsidR="00D851C6" w:rsidRDefault="00104263" w:rsidP="00551C35">
            <w:pPr>
              <w:spacing w:after="360"/>
              <w:cnfStyle w:val="000000000000" w:firstRow="0" w:lastRow="0" w:firstColumn="0" w:lastColumn="0" w:oddVBand="0" w:evenVBand="0" w:oddHBand="0" w:evenHBand="0" w:firstRowFirstColumn="0" w:firstRowLastColumn="0" w:lastRowFirstColumn="0" w:lastRowLastColumn="0"/>
              <w:rPr>
                <w:b w:val="0"/>
                <w:sz w:val="20"/>
                <w:szCs w:val="20"/>
              </w:rPr>
            </w:pPr>
            <w:r>
              <w:rPr>
                <w:b w:val="0"/>
                <w:sz w:val="20"/>
                <w:szCs w:val="20"/>
              </w:rPr>
              <w:t>Visa/Immigration assistance</w:t>
            </w:r>
          </w:p>
          <w:p w14:paraId="15F17B3E" w14:textId="77777777" w:rsidR="00104263" w:rsidRDefault="00104263" w:rsidP="00551C35">
            <w:pPr>
              <w:spacing w:after="360"/>
              <w:cnfStyle w:val="000000000000" w:firstRow="0" w:lastRow="0" w:firstColumn="0" w:lastColumn="0" w:oddVBand="0" w:evenVBand="0" w:oddHBand="0" w:evenHBand="0" w:firstRowFirstColumn="0" w:firstRowLastColumn="0" w:lastRowFirstColumn="0" w:lastRowLastColumn="0"/>
              <w:rPr>
                <w:b w:val="0"/>
                <w:sz w:val="20"/>
                <w:szCs w:val="20"/>
              </w:rPr>
            </w:pPr>
            <w:r>
              <w:rPr>
                <w:b w:val="0"/>
                <w:sz w:val="20"/>
                <w:szCs w:val="20"/>
              </w:rPr>
              <w:t>U-Visa assistance for victims of crime</w:t>
            </w:r>
          </w:p>
          <w:p w14:paraId="323E659E" w14:textId="2F0F4812" w:rsidR="00104263" w:rsidRPr="00144FCC" w:rsidRDefault="00104263" w:rsidP="00551C35">
            <w:pPr>
              <w:spacing w:after="360"/>
              <w:cnfStyle w:val="000000000000" w:firstRow="0" w:lastRow="0" w:firstColumn="0" w:lastColumn="0" w:oddVBand="0" w:evenVBand="0" w:oddHBand="0" w:evenHBand="0" w:firstRowFirstColumn="0" w:firstRowLastColumn="0" w:lastRowFirstColumn="0" w:lastRowLastColumn="0"/>
              <w:rPr>
                <w:b w:val="0"/>
                <w:sz w:val="20"/>
                <w:szCs w:val="20"/>
              </w:rPr>
            </w:pPr>
          </w:p>
        </w:tc>
      </w:tr>
      <w:tr w:rsidR="00144FCC" w:rsidRPr="00144FCC" w14:paraId="117DEB95" w14:textId="77777777" w:rsidTr="00ED6AFC">
        <w:tc>
          <w:tcPr>
            <w:cnfStyle w:val="001000000000" w:firstRow="0" w:lastRow="0" w:firstColumn="1" w:lastColumn="0" w:oddVBand="0" w:evenVBand="0" w:oddHBand="0" w:evenHBand="0" w:firstRowFirstColumn="0" w:firstRowLastColumn="0" w:lastRowFirstColumn="0" w:lastRowLastColumn="0"/>
            <w:tcW w:w="2199" w:type="dxa"/>
          </w:tcPr>
          <w:p w14:paraId="424C69D3" w14:textId="7BF2FD36" w:rsidR="00D851C6" w:rsidRPr="00144FCC" w:rsidRDefault="00045BBD" w:rsidP="00551C35">
            <w:pPr>
              <w:spacing w:after="360"/>
              <w:jc w:val="left"/>
              <w:rPr>
                <w:sz w:val="20"/>
                <w:szCs w:val="20"/>
              </w:rPr>
            </w:pPr>
            <w:r>
              <w:rPr>
                <w:sz w:val="20"/>
                <w:szCs w:val="20"/>
              </w:rPr>
              <w:t>Federal Student Aid in Office of U.S. Department of Education.</w:t>
            </w:r>
          </w:p>
        </w:tc>
        <w:tc>
          <w:tcPr>
            <w:tcW w:w="3095" w:type="dxa"/>
          </w:tcPr>
          <w:p w14:paraId="08849062" w14:textId="2DBF0B56" w:rsidR="00045BBD" w:rsidRPr="00144FCC" w:rsidRDefault="00DD3411" w:rsidP="00551C35">
            <w:pPr>
              <w:spacing w:after="360"/>
              <w:cnfStyle w:val="000000000000" w:firstRow="0" w:lastRow="0" w:firstColumn="0" w:lastColumn="0" w:oddVBand="0" w:evenVBand="0" w:oddHBand="0" w:evenHBand="0" w:firstRowFirstColumn="0" w:firstRowLastColumn="0" w:lastRowFirstColumn="0" w:lastRowLastColumn="0"/>
              <w:rPr>
                <w:b w:val="0"/>
                <w:sz w:val="20"/>
                <w:szCs w:val="20"/>
              </w:rPr>
            </w:pPr>
            <w:r>
              <w:rPr>
                <w:b w:val="0"/>
                <w:sz w:val="20"/>
                <w:szCs w:val="20"/>
              </w:rPr>
              <w:t>Federal Student Aid, a part of the U.S. Department of Education, is the largest provider of student financial aid in the nation.</w:t>
            </w:r>
          </w:p>
        </w:tc>
        <w:tc>
          <w:tcPr>
            <w:tcW w:w="2765" w:type="dxa"/>
          </w:tcPr>
          <w:p w14:paraId="0599C6F6" w14:textId="77777777" w:rsidR="00D851C6" w:rsidRDefault="00C975A2" w:rsidP="00551C35">
            <w:pPr>
              <w:spacing w:after="360"/>
              <w:cnfStyle w:val="000000000000" w:firstRow="0" w:lastRow="0" w:firstColumn="0" w:lastColumn="0" w:oddVBand="0" w:evenVBand="0" w:oddHBand="0" w:evenHBand="0" w:firstRowFirstColumn="0" w:firstRowLastColumn="0" w:lastRowFirstColumn="0" w:lastRowLastColumn="0"/>
              <w:rPr>
                <w:b w:val="0"/>
                <w:sz w:val="20"/>
                <w:szCs w:val="20"/>
              </w:rPr>
            </w:pPr>
            <w:r>
              <w:rPr>
                <w:b w:val="0"/>
                <w:sz w:val="20"/>
                <w:szCs w:val="20"/>
              </w:rPr>
              <w:t>1-800-433-3243</w:t>
            </w:r>
          </w:p>
          <w:p w14:paraId="60A3B313" w14:textId="1012A124" w:rsidR="00C975A2" w:rsidRPr="00144FCC" w:rsidRDefault="00C975A2" w:rsidP="00551C35">
            <w:pPr>
              <w:spacing w:after="360"/>
              <w:cnfStyle w:val="000000000000" w:firstRow="0" w:lastRow="0" w:firstColumn="0" w:lastColumn="0" w:oddVBand="0" w:evenVBand="0" w:oddHBand="0" w:evenHBand="0" w:firstRowFirstColumn="0" w:firstRowLastColumn="0" w:lastRowFirstColumn="0" w:lastRowLastColumn="0"/>
              <w:rPr>
                <w:b w:val="0"/>
                <w:sz w:val="20"/>
                <w:szCs w:val="20"/>
              </w:rPr>
            </w:pPr>
            <w:r>
              <w:rPr>
                <w:b w:val="0"/>
                <w:sz w:val="20"/>
                <w:szCs w:val="20"/>
              </w:rPr>
              <w:t>studentaid.ed.gov</w:t>
            </w:r>
          </w:p>
        </w:tc>
        <w:tc>
          <w:tcPr>
            <w:tcW w:w="2165" w:type="dxa"/>
          </w:tcPr>
          <w:p w14:paraId="51B1612E" w14:textId="12C15B23" w:rsidR="00D851C6" w:rsidRDefault="003D0482" w:rsidP="00551C35">
            <w:pPr>
              <w:spacing w:after="360"/>
              <w:cnfStyle w:val="000000000000" w:firstRow="0" w:lastRow="0" w:firstColumn="0" w:lastColumn="0" w:oddVBand="0" w:evenVBand="0" w:oddHBand="0" w:evenHBand="0" w:firstRowFirstColumn="0" w:firstRowLastColumn="0" w:lastRowFirstColumn="0" w:lastRowLastColumn="0"/>
              <w:rPr>
                <w:b w:val="0"/>
                <w:sz w:val="20"/>
                <w:szCs w:val="20"/>
              </w:rPr>
            </w:pPr>
            <w:r>
              <w:rPr>
                <w:b w:val="0"/>
                <w:sz w:val="20"/>
                <w:szCs w:val="20"/>
              </w:rPr>
              <w:t>Stude</w:t>
            </w:r>
            <w:r w:rsidR="00E30E82">
              <w:rPr>
                <w:b w:val="0"/>
                <w:sz w:val="20"/>
                <w:szCs w:val="20"/>
              </w:rPr>
              <w:t>nt financial aid resources</w:t>
            </w:r>
          </w:p>
          <w:p w14:paraId="0319D7F1" w14:textId="0BF1AE1E" w:rsidR="00C975A2" w:rsidRPr="00144FCC" w:rsidRDefault="00C975A2" w:rsidP="00551C35">
            <w:pPr>
              <w:spacing w:after="360"/>
              <w:cnfStyle w:val="000000000000" w:firstRow="0" w:lastRow="0" w:firstColumn="0" w:lastColumn="0" w:oddVBand="0" w:evenVBand="0" w:oddHBand="0" w:evenHBand="0" w:firstRowFirstColumn="0" w:firstRowLastColumn="0" w:lastRowFirstColumn="0" w:lastRowLastColumn="0"/>
              <w:rPr>
                <w:b w:val="0"/>
                <w:sz w:val="20"/>
                <w:szCs w:val="20"/>
              </w:rPr>
            </w:pPr>
          </w:p>
        </w:tc>
      </w:tr>
    </w:tbl>
    <w:p w14:paraId="697ED74B" w14:textId="77777777" w:rsidR="00D851C6" w:rsidRDefault="00D851C6" w:rsidP="006F1EB3">
      <w:pPr>
        <w:spacing w:before="240" w:after="360"/>
      </w:pPr>
    </w:p>
    <w:p w14:paraId="2606D39C" w14:textId="777F1876" w:rsidR="00E30E82" w:rsidRPr="00C92470" w:rsidRDefault="006D0946" w:rsidP="00C92470">
      <w:pPr>
        <w:pStyle w:val="Heading1"/>
        <w:rPr>
          <w:rFonts w:asciiTheme="minorHAnsi" w:hAnsiTheme="minorHAnsi" w:cstheme="minorHAnsi"/>
          <w:sz w:val="32"/>
        </w:rPr>
      </w:pPr>
      <w:bookmarkStart w:id="56" w:name="_Toc209014408"/>
      <w:r w:rsidRPr="00C92470">
        <w:rPr>
          <w:rFonts w:asciiTheme="minorHAnsi" w:hAnsiTheme="minorHAnsi" w:cstheme="minorHAnsi"/>
          <w:sz w:val="32"/>
        </w:rPr>
        <w:t>11.0</w:t>
      </w:r>
      <w:r w:rsidRPr="00C92470">
        <w:rPr>
          <w:rFonts w:asciiTheme="minorHAnsi" w:hAnsiTheme="minorHAnsi" w:cstheme="minorHAnsi"/>
          <w:sz w:val="32"/>
        </w:rPr>
        <w:tab/>
      </w:r>
      <w:r w:rsidR="00C92470">
        <w:rPr>
          <w:rFonts w:asciiTheme="minorHAnsi" w:hAnsiTheme="minorHAnsi" w:cstheme="minorHAnsi"/>
          <w:sz w:val="32"/>
        </w:rPr>
        <w:tab/>
      </w:r>
      <w:r w:rsidRPr="00C92470">
        <w:rPr>
          <w:rFonts w:asciiTheme="minorHAnsi" w:hAnsiTheme="minorHAnsi" w:cstheme="minorHAnsi"/>
          <w:sz w:val="32"/>
        </w:rPr>
        <w:t xml:space="preserve">HEOA </w:t>
      </w:r>
      <w:r w:rsidR="00863B08" w:rsidRPr="00C92470">
        <w:rPr>
          <w:rFonts w:asciiTheme="minorHAnsi" w:hAnsiTheme="minorHAnsi" w:cstheme="minorHAnsi"/>
          <w:sz w:val="32"/>
        </w:rPr>
        <w:t>Victim Notification</w:t>
      </w:r>
      <w:bookmarkEnd w:id="56"/>
    </w:p>
    <w:p w14:paraId="1D4ABB0B" w14:textId="5448D789" w:rsidR="00863B08" w:rsidRDefault="00863B08" w:rsidP="006F1EB3">
      <w:pPr>
        <w:spacing w:before="240" w:after="360"/>
      </w:pPr>
      <w:r>
        <w:t xml:space="preserve">Per the Higher Education Opportunity Act (HEOA), NHSC will, upon request, disclose to the alleged victim of a crime of violence or a non-forcible sex offense, the report on the results of </w:t>
      </w:r>
      <w:r>
        <w:lastRenderedPageBreak/>
        <w:t>any disciplinary proceeding conducted by NHSC, against a student who is the alleged perpetrator of such crime or offense.</w:t>
      </w:r>
      <w:r w:rsidR="00C72D24">
        <w:t xml:space="preserve">  If the alleged victim is deceased as a result of such crime or offense the next of kin of such victim </w:t>
      </w:r>
      <w:r w:rsidR="00AC137F">
        <w:t>shall be</w:t>
      </w:r>
      <w:r w:rsidR="00C72D24">
        <w:t xml:space="preserve"> treated as the alleged victim for purposes of this paragraph.</w:t>
      </w:r>
    </w:p>
    <w:p w14:paraId="3EC8E2FB" w14:textId="61DA70A9" w:rsidR="00C72D24" w:rsidRPr="00C92470" w:rsidRDefault="0058189E" w:rsidP="00C92470">
      <w:pPr>
        <w:pStyle w:val="Heading1"/>
        <w:rPr>
          <w:rFonts w:asciiTheme="minorHAnsi" w:hAnsiTheme="minorHAnsi" w:cstheme="minorHAnsi"/>
          <w:sz w:val="32"/>
        </w:rPr>
      </w:pPr>
      <w:bookmarkStart w:id="57" w:name="_Toc209014409"/>
      <w:r w:rsidRPr="00C92470">
        <w:rPr>
          <w:rFonts w:asciiTheme="minorHAnsi" w:hAnsiTheme="minorHAnsi" w:cstheme="minorHAnsi"/>
          <w:sz w:val="32"/>
        </w:rPr>
        <w:t>12.0</w:t>
      </w:r>
      <w:r w:rsidRPr="00C92470">
        <w:rPr>
          <w:rFonts w:asciiTheme="minorHAnsi" w:hAnsiTheme="minorHAnsi" w:cstheme="minorHAnsi"/>
          <w:sz w:val="32"/>
        </w:rPr>
        <w:tab/>
      </w:r>
      <w:r w:rsidR="00C92470" w:rsidRPr="00C92470">
        <w:rPr>
          <w:rFonts w:asciiTheme="minorHAnsi" w:hAnsiTheme="minorHAnsi" w:cstheme="minorHAnsi"/>
          <w:sz w:val="32"/>
        </w:rPr>
        <w:tab/>
      </w:r>
      <w:r w:rsidRPr="00C92470">
        <w:rPr>
          <w:rFonts w:asciiTheme="minorHAnsi" w:hAnsiTheme="minorHAnsi" w:cstheme="minorHAnsi"/>
          <w:sz w:val="32"/>
        </w:rPr>
        <w:t>Registered Sex Offender Information</w:t>
      </w:r>
      <w:bookmarkEnd w:id="57"/>
    </w:p>
    <w:p w14:paraId="27A8047C" w14:textId="14DEBECC" w:rsidR="0058189E" w:rsidRPr="00C92470" w:rsidRDefault="00AC2124" w:rsidP="00C92470">
      <w:pPr>
        <w:pStyle w:val="Heading2"/>
        <w:rPr>
          <w:rFonts w:asciiTheme="minorHAnsi" w:hAnsiTheme="minorHAnsi" w:cstheme="minorHAnsi"/>
          <w:sz w:val="24"/>
          <w:szCs w:val="24"/>
        </w:rPr>
      </w:pPr>
      <w:bookmarkStart w:id="58" w:name="_Toc209014410"/>
      <w:r w:rsidRPr="00C92470">
        <w:rPr>
          <w:rFonts w:asciiTheme="minorHAnsi" w:hAnsiTheme="minorHAnsi" w:cstheme="minorHAnsi"/>
          <w:sz w:val="24"/>
          <w:szCs w:val="24"/>
        </w:rPr>
        <w:t>12.1</w:t>
      </w:r>
      <w:r w:rsidRPr="00C92470">
        <w:rPr>
          <w:rFonts w:asciiTheme="minorHAnsi" w:hAnsiTheme="minorHAnsi" w:cstheme="minorHAnsi"/>
          <w:sz w:val="24"/>
          <w:szCs w:val="24"/>
        </w:rPr>
        <w:tab/>
        <w:t>SEX OFFENDERS REGISTERED IN NORTH DAKOTA</w:t>
      </w:r>
      <w:bookmarkEnd w:id="58"/>
    </w:p>
    <w:p w14:paraId="7E8FFC29" w14:textId="392DE9C6" w:rsidR="00AC2124" w:rsidRDefault="00B06636" w:rsidP="006F1EB3">
      <w:pPr>
        <w:spacing w:before="240" w:after="360"/>
      </w:pPr>
      <w:r>
        <w:t xml:space="preserve">This section describes where law enforcement agency information concerning registered sex offenders may be obtained by the NHSC community.  The </w:t>
      </w:r>
      <w:r w:rsidR="00085E22">
        <w:t>S</w:t>
      </w:r>
      <w:r>
        <w:t>tate of North Dakota</w:t>
      </w:r>
      <w:r w:rsidR="00085E22">
        <w:t xml:space="preserve"> requires sex offenders to register with the local (city or county) law enforcement agency in the jurisdiction in which they reside.</w:t>
      </w:r>
      <w:r w:rsidR="00CC0948">
        <w:t xml:space="preserve">  Local law enforcement agencies then provide this information to the State.  Information on registered sex offenders</w:t>
      </w:r>
      <w:r w:rsidR="002C3E15">
        <w:t xml:space="preserve"> is available at the website of </w:t>
      </w:r>
      <w:hyperlink r:id="rId29" w:history="1">
        <w:r w:rsidR="00C409E5" w:rsidRPr="001924ED">
          <w:rPr>
            <w:rStyle w:val="Hyperlink"/>
          </w:rPr>
          <w:t>www.sexoffender.nd.gov</w:t>
        </w:r>
      </w:hyperlink>
      <w:r w:rsidR="003C7D63">
        <w:t xml:space="preserve"> statewide.  You may also</w:t>
      </w:r>
      <w:r w:rsidR="00465497">
        <w:t xml:space="preserve"> contact TAT Sex Offender Registry Program: (701) 627-3617.</w:t>
      </w:r>
    </w:p>
    <w:p w14:paraId="507E23D8" w14:textId="557E8B48" w:rsidR="00465497" w:rsidRDefault="00465497" w:rsidP="006F1EB3">
      <w:pPr>
        <w:spacing w:before="240" w:after="360"/>
      </w:pPr>
      <w:r>
        <w:t>The Adam Walsh</w:t>
      </w:r>
      <w:r w:rsidR="00A44AAA">
        <w:t xml:space="preserve"> Child Protection and Safety Act of 2006 (AWCPSA) is a federal law that provides for the tracking of convicted sex offenders.  The Sex Offender Registration and Notification Act which is Title I of the AWC</w:t>
      </w:r>
      <w:r w:rsidR="00EA000F">
        <w:t>PSA requires that registered sex offenders register and keep their registration current in each jurisdiction</w:t>
      </w:r>
      <w:r w:rsidR="00644496">
        <w:t xml:space="preserve"> in which they reside, work, or go to school.  This database can be searched by a sex offender’s specific name and includes zip code and city/county listings as well as detailed personal profile information on each registrant.  The map application can be used to search any location/neighborhood in North Dakota.</w:t>
      </w:r>
    </w:p>
    <w:p w14:paraId="361AEC23" w14:textId="45E3BB65" w:rsidR="00644496" w:rsidRDefault="00C828FB" w:rsidP="006F1EB3">
      <w:pPr>
        <w:spacing w:before="240" w:after="360"/>
      </w:pPr>
      <w:r>
        <w:t xml:space="preserve">The federal Campus Sex Crimes Prevention Act, enacted October 28, 2000, requires institutions of higher education to issue a statement advising the </w:t>
      </w:r>
      <w:r w:rsidR="00AD7FC3">
        <w:t>campus</w:t>
      </w:r>
      <w:r>
        <w:t xml:space="preserve"> community</w:t>
      </w:r>
      <w:r w:rsidR="00AD7FC3">
        <w:t xml:space="preserve"> where </w:t>
      </w:r>
      <w:r w:rsidR="00363C45">
        <w:t>law enforcement</w:t>
      </w:r>
      <w:r w:rsidR="00012E19">
        <w:t xml:space="preserve"> agency information provided by a state concerning registered sex offenders may be obtained.  It requires sex offenders already registered in a state to provide notice, as required under state law, of each institution of higher education in that state at which person</w:t>
      </w:r>
      <w:r w:rsidR="00447AD0">
        <w:t xml:space="preserve"> is employed, carries a vocation, volunteers services or is a student.</w:t>
      </w:r>
    </w:p>
    <w:p w14:paraId="244DF286" w14:textId="105415FA" w:rsidR="00447AD0" w:rsidRDefault="00447AD0" w:rsidP="006F1EB3">
      <w:pPr>
        <w:spacing w:before="240" w:after="360"/>
      </w:pPr>
      <w:r>
        <w:lastRenderedPageBreak/>
        <w:t xml:space="preserve">Offenders must register in North Dakota if they have pled guilty to or have been convicted of certain criminal offenses.  A person must also register if that person has pled guilty </w:t>
      </w:r>
      <w:r w:rsidR="008F6399">
        <w:t>or “nola contend</w:t>
      </w:r>
      <w:r w:rsidR="005537BF">
        <w:t>ere”</w:t>
      </w:r>
      <w:r w:rsidR="005034B2">
        <w:t xml:space="preserve"> to, or been found guilty of, an offense in another court in the United</w:t>
      </w:r>
      <w:r w:rsidR="00DD3C9C">
        <w:t xml:space="preserve"> States, a tribal court or court of another country, which is equivalent to those offenses.  The registration statue is found in N.D.C.C. </w:t>
      </w:r>
      <w:r w:rsidR="001D0009">
        <w:rPr>
          <w:rFonts w:cstheme="minorHAnsi"/>
        </w:rPr>
        <w:t>§</w:t>
      </w:r>
      <w:r w:rsidR="00D60521">
        <w:t xml:space="preserve"> 12.1-32-15.  When required to register, the offender receives registration forms and instructions from the “originating agency.”  The originating agency</w:t>
      </w:r>
      <w:r w:rsidR="008B25C6">
        <w:t xml:space="preserve"> is the agency that informs the offender of the need to register as a “sex offender” or “offender against children.”</w:t>
      </w:r>
    </w:p>
    <w:p w14:paraId="7399CCB0" w14:textId="2D1A176F" w:rsidR="00A313F3" w:rsidRDefault="00A313F3" w:rsidP="006F1EB3">
      <w:pPr>
        <w:spacing w:before="240" w:after="360"/>
      </w:pPr>
      <w:r>
        <w:t>The registration forms contain instructions directing the offender to register in person with the law enforcement agency in the city or county where the offender will reside.  The offender signs the acknowledgement portion of the registration form.  The originating agency then sends copies</w:t>
      </w:r>
      <w:r w:rsidR="00DA685C">
        <w:t xml:space="preserve"> of the registration form the offender has signed to the Bureau of Criminal Investigation (BCI)</w:t>
      </w:r>
      <w:r w:rsidR="003E3C65">
        <w:t>.  BCI enters the information into the registration database and forwards copies of the signed acknowledgement to the law</w:t>
      </w:r>
      <w:r w:rsidR="00B47BE5">
        <w:t xml:space="preserve"> enforcement agency at which the individual is expected to register.  BCI maintains a master database of all persons in the state and monitors that database for any violations of the registration statues by offenders.  Again, this list can be accessed at </w:t>
      </w:r>
      <w:hyperlink r:id="rId30" w:history="1">
        <w:r w:rsidR="00B47BE5" w:rsidRPr="009170F7">
          <w:rPr>
            <w:rStyle w:val="Hyperlink"/>
            <w:color w:val="33A8FF" w:themeColor="hyperlink" w:themeTint="A6"/>
          </w:rPr>
          <w:t>www.sexoffender.nd.gov</w:t>
        </w:r>
      </w:hyperlink>
      <w:r w:rsidR="00B47BE5">
        <w:t>.</w:t>
      </w:r>
    </w:p>
    <w:p w14:paraId="763F7C59" w14:textId="57925877" w:rsidR="00611A37" w:rsidRPr="00C92470" w:rsidRDefault="00611A37" w:rsidP="00C92470">
      <w:pPr>
        <w:pStyle w:val="Heading2"/>
        <w:rPr>
          <w:rFonts w:asciiTheme="minorHAnsi" w:hAnsiTheme="minorHAnsi" w:cstheme="minorHAnsi"/>
          <w:sz w:val="24"/>
          <w:szCs w:val="24"/>
        </w:rPr>
      </w:pPr>
      <w:bookmarkStart w:id="59" w:name="_Toc209014411"/>
      <w:r w:rsidRPr="00C92470">
        <w:rPr>
          <w:rFonts w:asciiTheme="minorHAnsi" w:hAnsiTheme="minorHAnsi" w:cstheme="minorHAnsi"/>
          <w:sz w:val="24"/>
          <w:szCs w:val="24"/>
        </w:rPr>
        <w:t>12.2</w:t>
      </w:r>
      <w:r w:rsidRPr="00C92470">
        <w:rPr>
          <w:rFonts w:asciiTheme="minorHAnsi" w:hAnsiTheme="minorHAnsi" w:cstheme="minorHAnsi"/>
          <w:sz w:val="24"/>
          <w:szCs w:val="24"/>
        </w:rPr>
        <w:tab/>
        <w:t>COLLEGE-SPECIFIC REGISTERED SEX OFFENDER INFORMATION</w:t>
      </w:r>
      <w:bookmarkEnd w:id="59"/>
    </w:p>
    <w:p w14:paraId="0788D185" w14:textId="3AA5387A" w:rsidR="0014101F" w:rsidRDefault="00611A37" w:rsidP="006F1EB3">
      <w:pPr>
        <w:spacing w:before="240" w:after="360"/>
      </w:pPr>
      <w:r>
        <w:t>A sex offender who is enrolled at NHSC as a student; is full-time or part-time NHSC employee, with or without compensation; or is carrying on a vocation at NHSC for more than 14 days or for an aggregate period exceeding 30 days in a calendar year, must</w:t>
      </w:r>
      <w:r w:rsidR="00916210">
        <w:t xml:space="preserve"> register with the Campus Safety Office within five working days of commencing enrollment or employment.</w:t>
      </w:r>
      <w:r w:rsidR="0014101F">
        <w:t xml:space="preserve">  This includes employment whether or not financially compensated, volunteered, or performed for government or educational benefit.  The registrant shall also notify NHSC within five working days of ceasing to be enrolled or employed at NHSC or ceasing to carry on a vocation at NHSC.</w:t>
      </w:r>
    </w:p>
    <w:p w14:paraId="642B954C" w14:textId="7B9C2577" w:rsidR="0014101F" w:rsidRDefault="004D45D2" w:rsidP="006F1EB3">
      <w:pPr>
        <w:spacing w:before="240" w:after="360"/>
      </w:pPr>
      <w:r>
        <w:t>Registration of NHSC-affiliated sex offenders must be conducted at the Campus Safety Office.  Persons required to register</w:t>
      </w:r>
      <w:r w:rsidR="003D42C4">
        <w:t xml:space="preserve"> must do so in person, Monday through Friday</w:t>
      </w:r>
      <w:r w:rsidR="0009012F">
        <w:t xml:space="preserve"> (excluding holidays), </w:t>
      </w:r>
      <w:r w:rsidR="0009012F">
        <w:lastRenderedPageBreak/>
        <w:t>during the normal business hours of 8:00 a.m. to 5:00 p.m.</w:t>
      </w:r>
      <w:r w:rsidR="00882B90">
        <w:t xml:space="preserve">  Registrations will be handled by appointment </w:t>
      </w:r>
      <w:r w:rsidR="00C049F4">
        <w:t>only</w:t>
      </w:r>
      <w:r w:rsidR="00AC137F">
        <w:t>. Please</w:t>
      </w:r>
      <w:r w:rsidR="00882B90">
        <w:t xml:space="preserve"> call (701) 627-8052 to schedule an appointment.</w:t>
      </w:r>
    </w:p>
    <w:p w14:paraId="1D14E565" w14:textId="702D0376" w:rsidR="00C92470" w:rsidRPr="00B10B5F" w:rsidRDefault="00882B90" w:rsidP="006F1EB3">
      <w:pPr>
        <w:spacing w:before="240" w:after="360"/>
      </w:pPr>
      <w:r>
        <w:t>Information regarding NHSC-registered sex offenders is available to members of the campus community</w:t>
      </w:r>
      <w:r w:rsidR="00BF5636">
        <w:t xml:space="preserve"> at the Campus Safety Office, by appointment only.  Before being provided any information by NHSC</w:t>
      </w:r>
      <w:r w:rsidR="00EA1B07">
        <w:t xml:space="preserve">, a member of the campus community who requests that information shall sign a statement, on a form provided by the Department of Justice, stating that he or she is </w:t>
      </w:r>
      <w:r w:rsidR="00BE6821">
        <w:t>not a registered sex offender, that he or she understands the purpose of the release of information is to allow members of the campus community</w:t>
      </w:r>
      <w:r w:rsidR="00BE01BE">
        <w:t xml:space="preserve"> to protect themselves and their children from sex offenders, and that he or she understands it is unlawful to use information obtained to commit a crime against any</w:t>
      </w:r>
      <w:r w:rsidR="007A237A">
        <w:t xml:space="preserve"> registrant or to engage in illegal discrimination or harassment of any registrant.  The signed statement shall be mentioned in a file at NHSC for a minimum of five years.</w:t>
      </w:r>
    </w:p>
    <w:p w14:paraId="4CC4273E" w14:textId="0DBD893C" w:rsidR="00F3224C" w:rsidRPr="00C92470" w:rsidRDefault="007A459C" w:rsidP="00C92470">
      <w:pPr>
        <w:pStyle w:val="Heading1"/>
        <w:rPr>
          <w:rFonts w:asciiTheme="minorHAnsi" w:hAnsiTheme="minorHAnsi" w:cstheme="minorHAnsi"/>
          <w:sz w:val="32"/>
        </w:rPr>
      </w:pPr>
      <w:bookmarkStart w:id="60" w:name="_Toc209014412"/>
      <w:r w:rsidRPr="00C92470">
        <w:rPr>
          <w:rFonts w:asciiTheme="minorHAnsi" w:hAnsiTheme="minorHAnsi" w:cstheme="minorHAnsi"/>
          <w:sz w:val="32"/>
        </w:rPr>
        <w:t>13.0</w:t>
      </w:r>
      <w:r w:rsidRPr="00C92470">
        <w:rPr>
          <w:rFonts w:asciiTheme="minorHAnsi" w:hAnsiTheme="minorHAnsi" w:cstheme="minorHAnsi"/>
          <w:sz w:val="32"/>
        </w:rPr>
        <w:tab/>
      </w:r>
      <w:r w:rsidR="003B2D8E">
        <w:rPr>
          <w:rFonts w:asciiTheme="minorHAnsi" w:hAnsiTheme="minorHAnsi" w:cstheme="minorHAnsi"/>
          <w:sz w:val="32"/>
        </w:rPr>
        <w:tab/>
      </w:r>
      <w:r w:rsidRPr="00C92470">
        <w:rPr>
          <w:rFonts w:asciiTheme="minorHAnsi" w:hAnsiTheme="minorHAnsi" w:cstheme="minorHAnsi"/>
          <w:sz w:val="32"/>
        </w:rPr>
        <w:t>Campus Facilities Access and Security</w:t>
      </w:r>
      <w:bookmarkEnd w:id="60"/>
    </w:p>
    <w:p w14:paraId="2B62E4B2" w14:textId="31001AC1" w:rsidR="007A459C" w:rsidRPr="00C92470" w:rsidRDefault="007A459C" w:rsidP="00C92470">
      <w:pPr>
        <w:pStyle w:val="Heading2"/>
        <w:rPr>
          <w:rFonts w:asciiTheme="minorHAnsi" w:hAnsiTheme="minorHAnsi" w:cstheme="minorHAnsi"/>
          <w:sz w:val="24"/>
          <w:szCs w:val="24"/>
        </w:rPr>
      </w:pPr>
      <w:bookmarkStart w:id="61" w:name="_Toc209014413"/>
      <w:r w:rsidRPr="00C92470">
        <w:rPr>
          <w:rFonts w:asciiTheme="minorHAnsi" w:hAnsiTheme="minorHAnsi" w:cstheme="minorHAnsi"/>
          <w:sz w:val="24"/>
          <w:szCs w:val="24"/>
        </w:rPr>
        <w:t>13.1</w:t>
      </w:r>
      <w:r w:rsidRPr="00C92470">
        <w:rPr>
          <w:rFonts w:asciiTheme="minorHAnsi" w:hAnsiTheme="minorHAnsi" w:cstheme="minorHAnsi"/>
          <w:sz w:val="24"/>
          <w:szCs w:val="24"/>
        </w:rPr>
        <w:tab/>
        <w:t>SECURITY OF AN ACCESS TO CAMPUS FACILITIES – ACADEMIC AND OTHER BUILDINGS</w:t>
      </w:r>
      <w:bookmarkEnd w:id="61"/>
    </w:p>
    <w:p w14:paraId="0CE86F62" w14:textId="1C21907B" w:rsidR="00797E6B" w:rsidRDefault="00797E6B" w:rsidP="00797E6B">
      <w:pPr>
        <w:spacing w:before="240" w:after="360"/>
      </w:pPr>
      <w:r>
        <w:t>During normal business hours, NHSC buildings and facilities</w:t>
      </w:r>
      <w:r w:rsidR="00741CA8">
        <w:t xml:space="preserve"> are open to the public.  During non-business hours, access to most campus buildings and facilities is limited and may require proper identification. </w:t>
      </w:r>
      <w:r w:rsidR="00692686">
        <w:t xml:space="preserve"> NHSC buildings and facilities are secured according to schedules developed by the department responsible for the building or facility.  Some buildings and facilities at NHSC have hours that vary throughout the year.  Emergency situations my require</w:t>
      </w:r>
      <w:r w:rsidR="00B525C3">
        <w:t xml:space="preserve"> changes or alterations to posted building and facility schedules.</w:t>
      </w:r>
    </w:p>
    <w:p w14:paraId="1AB54166" w14:textId="452EFAAB" w:rsidR="00B525C3" w:rsidRDefault="001E1A50" w:rsidP="00797E6B">
      <w:pPr>
        <w:spacing w:before="240" w:after="360"/>
      </w:pPr>
      <w:r>
        <w:t xml:space="preserve">Access to academic and other buildings is controlled by key or electronic key-card access, and each building has varied levels of access control.  </w:t>
      </w:r>
      <w:r w:rsidR="00305CFF">
        <w:t>Safety Officers respond to alarms and conduct routine patrols to monitor security</w:t>
      </w:r>
      <w:r w:rsidR="00866E63">
        <w:t xml:space="preserve"> at campus buildings and other facilities.  Lost keys or keycards</w:t>
      </w:r>
      <w:r w:rsidR="00907BEA">
        <w:t xml:space="preserve"> should be reported to a department supervisor immediately for re-keying of areas</w:t>
      </w:r>
      <w:r w:rsidR="00272129">
        <w:t xml:space="preserve"> or cancelling the keycards, as necessary.</w:t>
      </w:r>
    </w:p>
    <w:p w14:paraId="3BD4E79B" w14:textId="080B2A1D" w:rsidR="00272129" w:rsidRDefault="00272129" w:rsidP="00797E6B">
      <w:pPr>
        <w:spacing w:before="240" w:after="360"/>
      </w:pPr>
      <w:r>
        <w:lastRenderedPageBreak/>
        <w:t>In order to ensure that only authorized individuals</w:t>
      </w:r>
      <w:r w:rsidR="001127AC">
        <w:t xml:space="preserve"> have a</w:t>
      </w:r>
      <w:r w:rsidR="00D042B9">
        <w:t>c</w:t>
      </w:r>
      <w:r w:rsidR="001127AC">
        <w:t>ce</w:t>
      </w:r>
      <w:r w:rsidR="00C409E5">
        <w:t>ss</w:t>
      </w:r>
      <w:r w:rsidR="001127AC">
        <w:t xml:space="preserve"> to NHSC buildings and facilities, </w:t>
      </w:r>
      <w:r w:rsidR="00C049F4">
        <w:t>it is</w:t>
      </w:r>
      <w:r w:rsidR="001127AC">
        <w:t xml:space="preserve"> essential that students, staff, and faculty work together to keep doors of all buildings</w:t>
      </w:r>
      <w:r w:rsidR="006F2ED9">
        <w:t xml:space="preserve"> and other facilities closed and locked after hours.  Do not leave doors propped open or unlocked after hours.  Do not open the door for individuals you do not know.  If your campus keys or keycards are lost or stolen, report this information immediately to the issuing party/department and/or NHSC at (701) 421-</w:t>
      </w:r>
      <w:r w:rsidR="006707FA">
        <w:t>0023</w:t>
      </w:r>
      <w:r w:rsidR="006F2ED9">
        <w:t>.</w:t>
      </w:r>
    </w:p>
    <w:p w14:paraId="585AFA58" w14:textId="4270023D" w:rsidR="00577678" w:rsidRDefault="00577678" w:rsidP="00797E6B">
      <w:pPr>
        <w:spacing w:before="240" w:after="360"/>
      </w:pPr>
      <w:r>
        <w:t>Buildings, facilities, and other areas on campus that are reported or determined to be problematic in certain ways may have security surveys and assessments conducted, including lighting, landscaping, access control, alarm monitoring, security camera</w:t>
      </w:r>
      <w:r w:rsidR="00352BB0">
        <w:t xml:space="preserve"> coverage and other assessments.  Members of NHSC</w:t>
      </w:r>
      <w:r w:rsidR="006A7E93">
        <w:t>, College Facilities Management, and others may contact security assessments for new construction, remodeling projects, and other areas on an ongoing basis or when requested.</w:t>
      </w:r>
    </w:p>
    <w:p w14:paraId="0FE1A166" w14:textId="7764E6FF" w:rsidR="006A7E93" w:rsidRPr="00B81FBD" w:rsidRDefault="008C6795" w:rsidP="00B81FBD">
      <w:pPr>
        <w:pStyle w:val="Heading2"/>
        <w:rPr>
          <w:rFonts w:asciiTheme="minorHAnsi" w:hAnsiTheme="minorHAnsi" w:cstheme="minorHAnsi"/>
          <w:sz w:val="24"/>
          <w:szCs w:val="24"/>
        </w:rPr>
      </w:pPr>
      <w:bookmarkStart w:id="62" w:name="_Toc209014414"/>
      <w:r w:rsidRPr="00B81FBD">
        <w:rPr>
          <w:rFonts w:asciiTheme="minorHAnsi" w:hAnsiTheme="minorHAnsi" w:cstheme="minorHAnsi"/>
          <w:sz w:val="24"/>
          <w:szCs w:val="24"/>
        </w:rPr>
        <w:t>1</w:t>
      </w:r>
      <w:r w:rsidR="0069489D" w:rsidRPr="00B81FBD">
        <w:rPr>
          <w:rFonts w:asciiTheme="minorHAnsi" w:hAnsiTheme="minorHAnsi" w:cstheme="minorHAnsi"/>
          <w:sz w:val="24"/>
          <w:szCs w:val="24"/>
        </w:rPr>
        <w:t>3</w:t>
      </w:r>
      <w:r w:rsidRPr="00B81FBD">
        <w:rPr>
          <w:rFonts w:asciiTheme="minorHAnsi" w:hAnsiTheme="minorHAnsi" w:cstheme="minorHAnsi"/>
          <w:sz w:val="24"/>
          <w:szCs w:val="24"/>
        </w:rPr>
        <w:t>.2</w:t>
      </w:r>
      <w:r w:rsidRPr="00B81FBD">
        <w:rPr>
          <w:rFonts w:asciiTheme="minorHAnsi" w:hAnsiTheme="minorHAnsi" w:cstheme="minorHAnsi"/>
          <w:sz w:val="24"/>
          <w:szCs w:val="24"/>
        </w:rPr>
        <w:tab/>
        <w:t>SECURITY CONSIDERATIONS IN MAINTENANCE OF CAMPUS FACILITIES</w:t>
      </w:r>
      <w:bookmarkEnd w:id="62"/>
    </w:p>
    <w:p w14:paraId="2875591A" w14:textId="32D7CAF5" w:rsidR="008C6795" w:rsidRDefault="008C6795" w:rsidP="00797E6B">
      <w:pPr>
        <w:spacing w:before="240" w:after="360"/>
      </w:pPr>
      <w:r>
        <w:t>NHSC uses a multidisciplinary approach to deter criminal behavior and to promote a safer campus community.  Crime Prevention Through Environmental Design (CPTED)</w:t>
      </w:r>
      <w:r w:rsidR="001B7E3E">
        <w:t xml:space="preserve"> is a key strategy relied upon to reduce behaviors that precede criminal activities.  In accordance with this strategy, facilities</w:t>
      </w:r>
      <w:r w:rsidR="003948B9">
        <w:t xml:space="preserve"> and landscaping are maintained in a manner that minimizes hazardous conditions.  Additionally, Safety officers regularly patrol the main campus and off-s</w:t>
      </w:r>
      <w:r w:rsidR="00805348">
        <w:t>it</w:t>
      </w:r>
      <w:r w:rsidR="003948B9">
        <w:t>e facilities</w:t>
      </w:r>
      <w:r w:rsidR="00A20E55">
        <w:t>, and report malfunctioning lights, security deficiencies, and other unsafe physical conditions to Facilities Management for correction.</w:t>
      </w:r>
    </w:p>
    <w:p w14:paraId="062008FF" w14:textId="5F3C5EB2" w:rsidR="00A20E55" w:rsidRDefault="00A20E55" w:rsidP="00797E6B">
      <w:pPr>
        <w:spacing w:before="240" w:after="360"/>
      </w:pPr>
      <w:r>
        <w:t xml:space="preserve">NHSC sponsors and conducts an annual Campus Lighting and Safety Walk.  This annual event includes campus directors and members from various campus organizations.  The Walk is designated to identify </w:t>
      </w:r>
      <w:r w:rsidR="00C049F4">
        <w:t>all</w:t>
      </w:r>
      <w:r w:rsidR="00792687">
        <w:t xml:space="preserve"> hazards that could affect campus safety, such as the need for lighting</w:t>
      </w:r>
      <w:r w:rsidR="00876AE5">
        <w:t xml:space="preserve"> repairs or additional lighting.</w:t>
      </w:r>
    </w:p>
    <w:p w14:paraId="61C065B2" w14:textId="3C733B03" w:rsidR="00B81FBD" w:rsidRPr="00FD11EC" w:rsidRDefault="00C049F4" w:rsidP="00797E6B">
      <w:pPr>
        <w:spacing w:before="240" w:after="360"/>
      </w:pPr>
      <w:r>
        <w:t>Members</w:t>
      </w:r>
      <w:r w:rsidR="00876AE5">
        <w:t xml:space="preserve"> of the NHSC community</w:t>
      </w:r>
      <w:r w:rsidR="000530BC">
        <w:t xml:space="preserve"> </w:t>
      </w:r>
      <w:r>
        <w:t>are</w:t>
      </w:r>
      <w:r w:rsidR="000530BC">
        <w:t xml:space="preserve"> encouraged to report equipment problems or unsafe conditions to NHSC </w:t>
      </w:r>
      <w:r w:rsidR="00922E98">
        <w:t xml:space="preserve">Safety Officer </w:t>
      </w:r>
      <w:r w:rsidR="000530BC">
        <w:t xml:space="preserve">or Facilities Management.  </w:t>
      </w:r>
      <w:proofErr w:type="gramStart"/>
      <w:r w:rsidR="000530BC">
        <w:t>Contact</w:t>
      </w:r>
      <w:proofErr w:type="gramEnd"/>
      <w:r w:rsidR="000530BC">
        <w:t xml:space="preserve"> by calling (701) 421-</w:t>
      </w:r>
      <w:r w:rsidR="006707FA">
        <w:t>0023</w:t>
      </w:r>
      <w:r w:rsidR="00922E98">
        <w:t xml:space="preserve"> </w:t>
      </w:r>
      <w:r w:rsidR="00922E98">
        <w:lastRenderedPageBreak/>
        <w:t>or (701)421-1523</w:t>
      </w:r>
      <w:r w:rsidR="000530BC">
        <w:t>.  The Facilities Management staff is immediately available</w:t>
      </w:r>
      <w:r w:rsidR="00DA28DD">
        <w:t xml:space="preserve"> during normal business hours and available “on-call” after hours, weekends, and holidays.</w:t>
      </w:r>
    </w:p>
    <w:p w14:paraId="2A3DB47F" w14:textId="1E0F34D8" w:rsidR="00DA28DD" w:rsidRPr="00B81FBD" w:rsidRDefault="00FA675F" w:rsidP="00B81FBD">
      <w:pPr>
        <w:pStyle w:val="Heading1"/>
        <w:rPr>
          <w:rFonts w:asciiTheme="minorHAnsi" w:hAnsiTheme="minorHAnsi" w:cstheme="minorHAnsi"/>
          <w:sz w:val="32"/>
        </w:rPr>
      </w:pPr>
      <w:bookmarkStart w:id="63" w:name="_Toc209014415"/>
      <w:r w:rsidRPr="00B81FBD">
        <w:rPr>
          <w:rFonts w:asciiTheme="minorHAnsi" w:hAnsiTheme="minorHAnsi" w:cstheme="minorHAnsi"/>
          <w:sz w:val="32"/>
        </w:rPr>
        <w:t>14.0</w:t>
      </w:r>
      <w:r w:rsidR="00B81FBD">
        <w:rPr>
          <w:rFonts w:asciiTheme="minorHAnsi" w:hAnsiTheme="minorHAnsi" w:cstheme="minorHAnsi"/>
          <w:sz w:val="32"/>
        </w:rPr>
        <w:tab/>
      </w:r>
      <w:r w:rsidR="008726DD" w:rsidRPr="00B81FBD">
        <w:rPr>
          <w:rFonts w:asciiTheme="minorHAnsi" w:hAnsiTheme="minorHAnsi" w:cstheme="minorHAnsi"/>
          <w:sz w:val="32"/>
        </w:rPr>
        <w:tab/>
      </w:r>
      <w:r w:rsidR="0003400B" w:rsidRPr="00B81FBD">
        <w:rPr>
          <w:rFonts w:asciiTheme="minorHAnsi" w:hAnsiTheme="minorHAnsi" w:cstheme="minorHAnsi"/>
          <w:sz w:val="32"/>
        </w:rPr>
        <w:t>Illegal Weapons</w:t>
      </w:r>
      <w:bookmarkEnd w:id="63"/>
    </w:p>
    <w:p w14:paraId="3141295F" w14:textId="3539A4FC" w:rsidR="0003400B" w:rsidRDefault="0003400B" w:rsidP="00797E6B">
      <w:pPr>
        <w:spacing w:before="240" w:after="360"/>
      </w:pPr>
      <w:r>
        <w:t>NHSC is committed to maintaining a safe and secure environment that supports the academic mission of NHSC.  Individuals are prohibited from possessing various weapons, including firearms; explosives; instruments that expel metal projectiles, such as a bb or pellet; specified knives; and/or any item that may be construed as such, on the premises of NHSC or any building under its control.</w:t>
      </w:r>
    </w:p>
    <w:p w14:paraId="7F7B1C54" w14:textId="7690418E" w:rsidR="0003400B" w:rsidRDefault="0003400B" w:rsidP="00797E6B">
      <w:pPr>
        <w:spacing w:before="240" w:after="360"/>
      </w:pPr>
      <w:r>
        <w:t>NHSC policy prohibit the possession or control of any firearms, deadly weapons, explosive devices, nunchakus, metal knuckles, billy clubs, saps, or any other deadly weapons or prohibited knives, while in any NHSC property or facility, except as required in the lawful course of business.  Anyone found in violation of NHSC’s policies will be subject</w:t>
      </w:r>
      <w:r w:rsidR="00E4296B">
        <w:t xml:space="preserve"> to the disciplinary policies and procedures applicable to students, staff, and faculty, and/or criminal prosecution by the appropriate jurisdiction.</w:t>
      </w:r>
    </w:p>
    <w:p w14:paraId="172FDB6D" w14:textId="11E98811" w:rsidR="00E4296B" w:rsidRDefault="00E4296B" w:rsidP="00797E6B">
      <w:pPr>
        <w:spacing w:before="240" w:after="360"/>
      </w:pPr>
      <w:r>
        <w:t>A weapon is anything that could be used to hurt another person.  Weapons include a gun, knife, hands, fists, feet, and any available object that could be used to hurt another.  Moreover, the possession of an undetectable firearm, cane gun, wallet gun, zip gun, belt buckle knife, blackjack, or other “generally prohibited weapon” is prohibited.</w:t>
      </w:r>
    </w:p>
    <w:p w14:paraId="4715C0FA" w14:textId="3339BFFD" w:rsidR="00E4296B" w:rsidRDefault="00E4296B" w:rsidP="00797E6B">
      <w:pPr>
        <w:spacing w:before="240" w:after="360"/>
      </w:pPr>
      <w:r>
        <w:t xml:space="preserve">Individuals are encouraged to report weapons violations to NHSC immediately by dialing 911 or (701) </w:t>
      </w:r>
      <w:r w:rsidR="00275BB6">
        <w:t>421-0023</w:t>
      </w:r>
      <w:r>
        <w:t>.  It is important to provide a description and location of the individual carrying a weapon.  NHSC has and will continue to investigate any threat to the safety of NHSC in order to protect all members of the college community and their guests.</w:t>
      </w:r>
    </w:p>
    <w:p w14:paraId="625E98D8" w14:textId="3DEA6867" w:rsidR="001F2FC8" w:rsidRDefault="00E4296B" w:rsidP="001F2FC8">
      <w:pPr>
        <w:spacing w:before="240" w:after="360"/>
      </w:pPr>
      <w:r>
        <w:t xml:space="preserve">NHSC policy also prohibits individuals from use, possession, sale, or manufacture of any dangerous weapons on NHSC properties or at official NHSC functions, except as expressly permitted by law.  Anyone found in violation of NHSC’s policies shall be subject to the </w:t>
      </w:r>
      <w:r>
        <w:lastRenderedPageBreak/>
        <w:t>disciplinary</w:t>
      </w:r>
      <w:r w:rsidR="00620777">
        <w:t xml:space="preserve"> policies and procedures applicable to students and employees, and/or </w:t>
      </w:r>
      <w:r w:rsidR="006F7F74">
        <w:t>criminals’</w:t>
      </w:r>
      <w:r w:rsidR="00620777">
        <w:t xml:space="preserve"> prosecution by the appropriate jurisdiction.</w:t>
      </w:r>
    </w:p>
    <w:p w14:paraId="360E3073" w14:textId="4012F2CD" w:rsidR="001F2FC8" w:rsidRPr="00B81FBD" w:rsidRDefault="001F2FC8" w:rsidP="00B81FBD">
      <w:pPr>
        <w:pStyle w:val="Heading1"/>
        <w:rPr>
          <w:rFonts w:asciiTheme="minorHAnsi" w:hAnsiTheme="minorHAnsi" w:cstheme="minorHAnsi"/>
          <w:sz w:val="32"/>
        </w:rPr>
      </w:pPr>
      <w:bookmarkStart w:id="64" w:name="_Toc209014416"/>
      <w:r w:rsidRPr="00B81FBD">
        <w:rPr>
          <w:rFonts w:asciiTheme="minorHAnsi" w:hAnsiTheme="minorHAnsi" w:cstheme="minorHAnsi"/>
          <w:sz w:val="32"/>
        </w:rPr>
        <w:t>15.0</w:t>
      </w:r>
      <w:r w:rsidRPr="00B81FBD">
        <w:rPr>
          <w:rFonts w:asciiTheme="minorHAnsi" w:hAnsiTheme="minorHAnsi" w:cstheme="minorHAnsi"/>
          <w:sz w:val="32"/>
        </w:rPr>
        <w:tab/>
      </w:r>
      <w:r w:rsidR="00B81FBD">
        <w:rPr>
          <w:rFonts w:asciiTheme="minorHAnsi" w:hAnsiTheme="minorHAnsi" w:cstheme="minorHAnsi"/>
          <w:sz w:val="32"/>
        </w:rPr>
        <w:tab/>
      </w:r>
      <w:r w:rsidRPr="00B81FBD">
        <w:rPr>
          <w:rFonts w:asciiTheme="minorHAnsi" w:hAnsiTheme="minorHAnsi" w:cstheme="minorHAnsi"/>
          <w:sz w:val="32"/>
        </w:rPr>
        <w:t>Substance Use Policy, Laws, and Sanctions</w:t>
      </w:r>
      <w:bookmarkEnd w:id="64"/>
    </w:p>
    <w:p w14:paraId="34555643" w14:textId="4B754FEC" w:rsidR="001F2FC8" w:rsidRDefault="001F2FC8" w:rsidP="006F1EB3">
      <w:pPr>
        <w:spacing w:before="240" w:after="360"/>
      </w:pPr>
      <w:r>
        <w:t xml:space="preserve">In accordance with the Drug-Free Schools and Communities Act (DFSCA) of 1989, the </w:t>
      </w:r>
      <w:r w:rsidRPr="001F2FC8">
        <w:rPr>
          <w:i/>
          <w:iCs/>
        </w:rPr>
        <w:t xml:space="preserve">College Substance Abuse Policy and Implementing Guidelines </w:t>
      </w:r>
      <w:r>
        <w:t>include NHSC’s policy on substance use standards of conduct; potential legal sanctions and penalties for unlawful possession, use, or distribution of drugs or alcohol; potential sanctions for campus drug and alcohol policy violations; health risks associated with drug and alcohol abuse; and resources available to students and employees.</w:t>
      </w:r>
    </w:p>
    <w:p w14:paraId="6E87FEBA" w14:textId="5AFBFA27" w:rsidR="001F2FC8" w:rsidRDefault="001F2FC8" w:rsidP="006F1EB3">
      <w:pPr>
        <w:spacing w:before="240" w:after="360"/>
      </w:pPr>
      <w:r>
        <w:t xml:space="preserve">NHSC actively distributes information about the campus substance use policy and its availability to </w:t>
      </w:r>
      <w:r w:rsidR="00845488">
        <w:t>members of the campus community by sending emails to students and employees throughout the year.  Additionally, NHSC conducts a biennial review of the effectiveness of the campus substance abuse prevention program.</w:t>
      </w:r>
    </w:p>
    <w:p w14:paraId="7D2C209D" w14:textId="35DFC3C3" w:rsidR="00845488" w:rsidRDefault="00845488" w:rsidP="006F1EB3">
      <w:pPr>
        <w:spacing w:before="240" w:after="360"/>
      </w:pPr>
      <w:r>
        <w:t>The following is a summary of NHSC’s policy on substance use, disciplinary sanctions for policy violations, educational programs offered by NHSC, and on and off-campus substance use treatment resources.</w:t>
      </w:r>
    </w:p>
    <w:p w14:paraId="6465DB37" w14:textId="735E75FE" w:rsidR="00A223BD" w:rsidRPr="00B81FBD" w:rsidRDefault="00A223BD" w:rsidP="00B81FBD">
      <w:pPr>
        <w:pStyle w:val="Heading2"/>
        <w:rPr>
          <w:rFonts w:asciiTheme="minorHAnsi" w:hAnsiTheme="minorHAnsi" w:cstheme="minorHAnsi"/>
          <w:sz w:val="24"/>
          <w:szCs w:val="24"/>
        </w:rPr>
      </w:pPr>
      <w:bookmarkStart w:id="65" w:name="_Toc209014417"/>
      <w:r w:rsidRPr="00B81FBD">
        <w:rPr>
          <w:rFonts w:asciiTheme="minorHAnsi" w:hAnsiTheme="minorHAnsi" w:cstheme="minorHAnsi"/>
          <w:sz w:val="24"/>
          <w:szCs w:val="24"/>
        </w:rPr>
        <w:t>15.1</w:t>
      </w:r>
      <w:r w:rsidRPr="00B81FBD">
        <w:rPr>
          <w:rFonts w:asciiTheme="minorHAnsi" w:hAnsiTheme="minorHAnsi" w:cstheme="minorHAnsi"/>
          <w:sz w:val="24"/>
          <w:szCs w:val="24"/>
        </w:rPr>
        <w:tab/>
        <w:t>COLLEGE SUBSTANCE USE POLICY AND STANDARDS OF CONDUCT</w:t>
      </w:r>
      <w:bookmarkEnd w:id="65"/>
    </w:p>
    <w:p w14:paraId="0E82F459" w14:textId="77777777" w:rsidR="00A223BD" w:rsidRDefault="00A223BD" w:rsidP="006F1EB3">
      <w:pPr>
        <w:spacing w:before="240" w:after="360"/>
      </w:pPr>
      <w:r>
        <w:t>NHSC strives to maintain a community and workplace free from the illegal use, possession, or distribution of alcohol and other drugs.  Manufacture, sale, distribution, dispensation, possession, or use of alcohol and controlled substances by students or employees on NHSC property, at official NHSC functions, or on NHSC business is prohibited except as permitted by law, NHSC policy, and campus regulations.</w:t>
      </w:r>
    </w:p>
    <w:p w14:paraId="09E18797" w14:textId="05162D38" w:rsidR="00A223BD" w:rsidRDefault="004B73C6" w:rsidP="004B73C6">
      <w:pPr>
        <w:spacing w:before="240" w:after="360"/>
      </w:pPr>
      <w:r>
        <w:t>To promote an environment of academic excellence and to comply with the requirements of the Drug-Free Schools and Community Act and the Drug Free Workplace Act, academic and staff employees and students:</w:t>
      </w:r>
    </w:p>
    <w:p w14:paraId="3ED176D0" w14:textId="0A7E7EB9" w:rsidR="004B73C6" w:rsidRDefault="004B73C6" w:rsidP="006A64BD">
      <w:pPr>
        <w:pStyle w:val="ListParagraph"/>
        <w:numPr>
          <w:ilvl w:val="0"/>
          <w:numId w:val="59"/>
        </w:numPr>
        <w:spacing w:before="240" w:after="360"/>
      </w:pPr>
      <w:r>
        <w:lastRenderedPageBreak/>
        <w:t>Shall not use illegal substances and shall not use legal substances in a manner that impairs scholarly activities, job performance, or student life.</w:t>
      </w:r>
    </w:p>
    <w:p w14:paraId="31D03F92" w14:textId="08C2FBD2" w:rsidR="004B73C6" w:rsidRDefault="004B73C6" w:rsidP="006A64BD">
      <w:pPr>
        <w:pStyle w:val="ListParagraph"/>
        <w:numPr>
          <w:ilvl w:val="0"/>
          <w:numId w:val="59"/>
        </w:numPr>
        <w:spacing w:before="240" w:after="360"/>
      </w:pPr>
      <w:r>
        <w:t>Shall not use illegal or legal substances in a manner that violates applicable criminal or civil laws in the workplace, on NHSC premises, at NHSC activities or while conducting NHSC business.</w:t>
      </w:r>
    </w:p>
    <w:p w14:paraId="3B434FAD" w14:textId="29561064" w:rsidR="004B73C6" w:rsidRDefault="004B73C6" w:rsidP="006A64BD">
      <w:pPr>
        <w:pStyle w:val="ListParagraph"/>
        <w:numPr>
          <w:ilvl w:val="0"/>
          <w:numId w:val="59"/>
        </w:numPr>
        <w:spacing w:before="240" w:after="360"/>
      </w:pPr>
      <w:r>
        <w:t>Are prohibited from the unlawful manufacture, distribution, dispensation, possession, or use of alcohol and/or a controlled substance in the workplace, on NHSC premises, at NHSC</w:t>
      </w:r>
      <w:r w:rsidR="00F06C4F">
        <w:t xml:space="preserve"> activities, or while conducting NHSC business.</w:t>
      </w:r>
    </w:p>
    <w:p w14:paraId="65BF99BA" w14:textId="3AB4B3E2" w:rsidR="00F06C4F" w:rsidRDefault="00F06C4F" w:rsidP="006A64BD">
      <w:pPr>
        <w:pStyle w:val="ListParagraph"/>
        <w:numPr>
          <w:ilvl w:val="0"/>
          <w:numId w:val="59"/>
        </w:numPr>
        <w:spacing w:before="240" w:after="360"/>
      </w:pPr>
      <w:r>
        <w:t>Academic and staff employees and student involved in work on or for a federal grant or contract are required, as a condition of employment on the grant or contract, to notify NHSC with five (5) calendar days if they are convicted of any criminal drug statute violation for activity occurring at the workplace, at the location of any grant/contract activity, or while on NHSC business.</w:t>
      </w:r>
    </w:p>
    <w:p w14:paraId="4165C29D" w14:textId="15F63D09" w:rsidR="00F06C4F" w:rsidRPr="00B81FBD" w:rsidRDefault="00F06C4F" w:rsidP="00B81FBD">
      <w:pPr>
        <w:pStyle w:val="Heading2"/>
        <w:rPr>
          <w:rFonts w:asciiTheme="minorHAnsi" w:hAnsiTheme="minorHAnsi" w:cstheme="minorHAnsi"/>
          <w:sz w:val="24"/>
          <w:szCs w:val="24"/>
        </w:rPr>
      </w:pPr>
      <w:bookmarkStart w:id="66" w:name="_Toc209014418"/>
      <w:r w:rsidRPr="00B81FBD">
        <w:rPr>
          <w:rFonts w:asciiTheme="minorHAnsi" w:hAnsiTheme="minorHAnsi" w:cstheme="minorHAnsi"/>
          <w:sz w:val="24"/>
          <w:szCs w:val="24"/>
        </w:rPr>
        <w:t>15.2</w:t>
      </w:r>
      <w:r w:rsidRPr="00B81FBD">
        <w:rPr>
          <w:rFonts w:asciiTheme="minorHAnsi" w:hAnsiTheme="minorHAnsi" w:cstheme="minorHAnsi"/>
          <w:sz w:val="24"/>
          <w:szCs w:val="24"/>
        </w:rPr>
        <w:tab/>
        <w:t>NORTH DAKOTA ALCOHOL AND DRUG LAWS AND SANCTIONS</w:t>
      </w:r>
      <w:bookmarkEnd w:id="66"/>
    </w:p>
    <w:p w14:paraId="2290525F" w14:textId="22B6F2AC" w:rsidR="00F06C4F" w:rsidRDefault="00F06C4F" w:rsidP="00F06C4F">
      <w:pPr>
        <w:spacing w:before="240" w:after="360"/>
      </w:pPr>
      <w:r>
        <w:t>The state and city classification of offenses and the sanctions for violating specific alcohol or drug statutes are as follows.</w:t>
      </w:r>
    </w:p>
    <w:p w14:paraId="69E05EED" w14:textId="1866BC74" w:rsidR="00845488" w:rsidRDefault="00F06C4F" w:rsidP="006F1EB3">
      <w:pPr>
        <w:spacing w:before="240" w:after="360"/>
        <w:rPr>
          <w:b/>
          <w:bCs/>
        </w:rPr>
      </w:pPr>
      <w:r>
        <w:t xml:space="preserve">Under North Dakota Century Code (NDCC) section 5-01-08, </w:t>
      </w:r>
      <w:r w:rsidR="00D94171">
        <w:rPr>
          <w:b/>
          <w:bCs/>
        </w:rPr>
        <w:t>Individuals Under Twenty-one Years of Age Prohibited from Using Alcoholic Beverages or Entering Licensed Premises – Penalty, violations are as follows:</w:t>
      </w:r>
    </w:p>
    <w:p w14:paraId="03D96D55" w14:textId="3264E24F" w:rsidR="00D94171" w:rsidRDefault="00D94171" w:rsidP="006A64BD">
      <w:pPr>
        <w:pStyle w:val="ListParagraph"/>
        <w:numPr>
          <w:ilvl w:val="0"/>
          <w:numId w:val="60"/>
        </w:numPr>
        <w:spacing w:before="240" w:after="360"/>
      </w:pPr>
      <w:r>
        <w:t>Except as permitted in this section and section 5-02-06, an individual under twenty-one years of age may not manufacture or attempt to manufacture, purchase or attempt to purchase, consume or have recently consumed other than during a religious service be under the influence of, be in possession of, or furnish money to any individual for the purchase of an alcoholic beverage.</w:t>
      </w:r>
    </w:p>
    <w:p w14:paraId="634AC0F2" w14:textId="7B75ADE0" w:rsidR="00D94171" w:rsidRDefault="00D94171" w:rsidP="006A64BD">
      <w:pPr>
        <w:pStyle w:val="ListParagraph"/>
        <w:numPr>
          <w:ilvl w:val="0"/>
          <w:numId w:val="60"/>
        </w:numPr>
        <w:spacing w:before="240" w:after="360"/>
      </w:pPr>
      <w:r>
        <w:t>An individual under twenty-one years of age may not enter any licensed premises where alcoholic beverages are being sold or displayed, except:</w:t>
      </w:r>
    </w:p>
    <w:p w14:paraId="6C9C6508" w14:textId="3C745A7F" w:rsidR="00D94171" w:rsidRDefault="00D94171" w:rsidP="006A64BD">
      <w:pPr>
        <w:pStyle w:val="ListParagraph"/>
        <w:numPr>
          <w:ilvl w:val="1"/>
          <w:numId w:val="60"/>
        </w:numPr>
        <w:spacing w:before="240" w:after="360"/>
      </w:pPr>
      <w:r>
        <w:t>A restaurant if accompanied by a parent or legal guardian;</w:t>
      </w:r>
    </w:p>
    <w:p w14:paraId="56C07BD9" w14:textId="7C347698" w:rsidR="00D94171" w:rsidRDefault="00D94171" w:rsidP="006A64BD">
      <w:pPr>
        <w:pStyle w:val="ListParagraph"/>
        <w:numPr>
          <w:ilvl w:val="1"/>
          <w:numId w:val="60"/>
        </w:numPr>
        <w:spacing w:before="240" w:after="360"/>
      </w:pPr>
      <w:r>
        <w:lastRenderedPageBreak/>
        <w:t>In accordance with section 5-02-06;</w:t>
      </w:r>
    </w:p>
    <w:p w14:paraId="03B6928B" w14:textId="5DD49C07" w:rsidR="00D94171" w:rsidRDefault="004D1025" w:rsidP="006A64BD">
      <w:pPr>
        <w:pStyle w:val="ListParagraph"/>
        <w:numPr>
          <w:ilvl w:val="1"/>
          <w:numId w:val="60"/>
        </w:numPr>
        <w:spacing w:before="240" w:after="360"/>
      </w:pPr>
      <w:r>
        <w:t>If the individual is an independent contractor or the independent contractor’s employee engaged in contract work and is not engaged in selling, dispensing, delivering, or consuming alcoholic beverages;</w:t>
      </w:r>
    </w:p>
    <w:p w14:paraId="407293BB" w14:textId="22EE4142" w:rsidR="004D1025" w:rsidRDefault="004D1025" w:rsidP="006A64BD">
      <w:pPr>
        <w:pStyle w:val="ListParagraph"/>
        <w:numPr>
          <w:ilvl w:val="1"/>
          <w:numId w:val="60"/>
        </w:numPr>
        <w:spacing w:before="240" w:after="360"/>
      </w:pPr>
      <w:r>
        <w:t>If the individual is a law enforcement officer or other public official who enters the premises in the performance of official duty; or</w:t>
      </w:r>
    </w:p>
    <w:p w14:paraId="3B5E77AB" w14:textId="7000770A" w:rsidR="004D1025" w:rsidRDefault="004D1025" w:rsidP="006A64BD">
      <w:pPr>
        <w:pStyle w:val="ListParagraph"/>
        <w:numPr>
          <w:ilvl w:val="1"/>
          <w:numId w:val="60"/>
        </w:numPr>
        <w:spacing w:before="240" w:after="360"/>
      </w:pPr>
      <w:r>
        <w:t>If the individual enters the premises for training, education, or research purposes under the supervision of an individual twenty-one or more years of age with prior notification of the local licensing authority.</w:t>
      </w:r>
    </w:p>
    <w:p w14:paraId="5CE3B9B6" w14:textId="776A4612" w:rsidR="004D1025" w:rsidRDefault="004D1025" w:rsidP="006A64BD">
      <w:pPr>
        <w:pStyle w:val="ListParagraph"/>
        <w:numPr>
          <w:ilvl w:val="0"/>
          <w:numId w:val="60"/>
        </w:numPr>
        <w:spacing w:before="240" w:after="360"/>
      </w:pPr>
      <w:r>
        <w:t>An individual who violates this section is guilty of an infraction.  For a violation of subsection 2, the court also may sentence a violator to alcohol and drug education.</w:t>
      </w:r>
    </w:p>
    <w:p w14:paraId="430F26D0" w14:textId="188C845F" w:rsidR="004D1025" w:rsidRDefault="004D1025" w:rsidP="004D1025">
      <w:pPr>
        <w:spacing w:before="240" w:after="360"/>
      </w:pPr>
      <w:r>
        <w:t xml:space="preserve">Under NDCC section 5-01-08.1, </w:t>
      </w:r>
      <w:r>
        <w:rPr>
          <w:b/>
          <w:bCs/>
        </w:rPr>
        <w:t>Misrepr</w:t>
      </w:r>
      <w:r w:rsidR="00960346">
        <w:rPr>
          <w:b/>
          <w:bCs/>
        </w:rPr>
        <w:t>esentation of Age – Penalty</w:t>
      </w:r>
      <w:r w:rsidR="00960346">
        <w:t>, any person who misrepresents or misstates that person’s age or the age of any other person or who misrepresents that person’s age through presentation of any document purporting to show that person to be of legal age to purchase alcoholic beverages is guilty of a class B misdemeanor.</w:t>
      </w:r>
    </w:p>
    <w:p w14:paraId="5732602B" w14:textId="79002CC2" w:rsidR="004B7EBF" w:rsidRDefault="006A15CD" w:rsidP="004D1025">
      <w:pPr>
        <w:spacing w:before="240" w:after="360"/>
      </w:pPr>
      <w:r>
        <w:t xml:space="preserve">Under NDCC section 5-01-09, </w:t>
      </w:r>
      <w:r>
        <w:rPr>
          <w:b/>
          <w:bCs/>
        </w:rPr>
        <w:t>Delivery</w:t>
      </w:r>
      <w:r w:rsidR="00C11D71">
        <w:rPr>
          <w:b/>
          <w:bCs/>
        </w:rPr>
        <w:t xml:space="preserve"> to Certain Persons Unlawful</w:t>
      </w:r>
      <w:r w:rsidR="00C11D71">
        <w:t>, any individual knowingly deliver</w:t>
      </w:r>
      <w:r w:rsidR="00300936">
        <w:t>ing alcoholic beverages to an individual under twenty-one years of age, except as allowed under section 5-02-06, or to a habitual drunkard, an incompetent, or an obviously intoxicated individual is guilty of a class A misdemeanor, subject to sections 5-01-08, 5-01-08.1</w:t>
      </w:r>
      <w:r w:rsidR="00DC46D5">
        <w:t>, and 5-01-08.2.</w:t>
      </w:r>
    </w:p>
    <w:p w14:paraId="3C2EB7CD" w14:textId="78AA362E" w:rsidR="00DC46D5" w:rsidRDefault="00DC46D5" w:rsidP="004D1025">
      <w:pPr>
        <w:spacing w:before="240" w:after="360"/>
      </w:pPr>
      <w:r>
        <w:t>Under N</w:t>
      </w:r>
      <w:r w:rsidR="00D439D8">
        <w:t xml:space="preserve">DCC section 19-03.1-23, </w:t>
      </w:r>
      <w:r w:rsidR="00D439D8">
        <w:rPr>
          <w:b/>
          <w:bCs/>
        </w:rPr>
        <w:t>Prohibited Acts A – Mandatory Terms of Imprisonment and Fines</w:t>
      </w:r>
      <w:r w:rsidR="007179EA">
        <w:rPr>
          <w:b/>
          <w:bCs/>
        </w:rPr>
        <w:t xml:space="preserve"> </w:t>
      </w:r>
      <w:r w:rsidR="007179EA">
        <w:t>– unclassified Offenses – Penalties, violations are as follows:</w:t>
      </w:r>
    </w:p>
    <w:p w14:paraId="13B63FEF" w14:textId="50906308" w:rsidR="007179EA" w:rsidRDefault="00D40613" w:rsidP="006A64BD">
      <w:pPr>
        <w:pStyle w:val="ListParagraph"/>
        <w:numPr>
          <w:ilvl w:val="0"/>
          <w:numId w:val="69"/>
        </w:numPr>
        <w:spacing w:before="240" w:after="360"/>
      </w:pPr>
      <w:r>
        <w:t xml:space="preserve"> Except as authorized by this chapter, it is unlawful for a person to willfully, as defined in section 12.1-02-02,</w:t>
      </w:r>
      <w:r w:rsidR="005B22F5">
        <w:t xml:space="preserve"> manufacture, deliver, or possess with intent to manufacture or deliver, a controlled substance, or to deliver, distribute, or dispense a controlled substance by means of the internet, but a person who </w:t>
      </w:r>
      <w:r w:rsidR="005B22F5">
        <w:lastRenderedPageBreak/>
        <w:t xml:space="preserve">violates this </w:t>
      </w:r>
      <w:r w:rsidR="00B30F99">
        <w:t>section12-46-24 or 12-47-21 may not be prosecuted under this subsection.  A person who violates this subsection</w:t>
      </w:r>
      <w:r w:rsidR="00B138AA">
        <w:t xml:space="preserve"> with respect to:</w:t>
      </w:r>
    </w:p>
    <w:p w14:paraId="568678AB" w14:textId="2BFD663D" w:rsidR="00B138AA" w:rsidRDefault="00447239" w:rsidP="00A72348">
      <w:pPr>
        <w:spacing w:before="240" w:after="360"/>
        <w:ind w:left="2160" w:hanging="720"/>
      </w:pPr>
      <w:r>
        <w:t>a.</w:t>
      </w:r>
      <w:r w:rsidR="00B138AA">
        <w:tab/>
        <w:t>A controlled substance classified in schedule I or II which is a narcotic</w:t>
      </w:r>
      <w:r w:rsidR="00A72348">
        <w:t xml:space="preserve"> drug, or methamphetamine, is guilty of a class B felony and must be sentenced:</w:t>
      </w:r>
    </w:p>
    <w:p w14:paraId="5F887F40" w14:textId="6F2029C9" w:rsidR="00A72348" w:rsidRDefault="00894255" w:rsidP="006A64BD">
      <w:pPr>
        <w:pStyle w:val="ListParagraph"/>
        <w:numPr>
          <w:ilvl w:val="0"/>
          <w:numId w:val="61"/>
        </w:numPr>
        <w:spacing w:before="240" w:after="360"/>
      </w:pPr>
      <w:r>
        <w:t>For a second offense, to imprisonment for at least three years</w:t>
      </w:r>
      <w:r w:rsidR="00F80294">
        <w:t>.</w:t>
      </w:r>
    </w:p>
    <w:p w14:paraId="742FA3DA" w14:textId="10E8CEE4" w:rsidR="00F80294" w:rsidRDefault="00F80294" w:rsidP="006A64BD">
      <w:pPr>
        <w:pStyle w:val="ListParagraph"/>
        <w:numPr>
          <w:ilvl w:val="0"/>
          <w:numId w:val="61"/>
        </w:numPr>
        <w:spacing w:before="240" w:after="360"/>
      </w:pPr>
      <w:r>
        <w:t>For a third or subsequent offense, to imprisonment for ten years.</w:t>
      </w:r>
    </w:p>
    <w:p w14:paraId="4C541F15" w14:textId="4E7AD533" w:rsidR="00F80294" w:rsidRDefault="002A61F9" w:rsidP="001F5C34">
      <w:pPr>
        <w:spacing w:before="240" w:after="360"/>
        <w:ind w:left="2160" w:hanging="720"/>
      </w:pPr>
      <w:r>
        <w:t>b.</w:t>
      </w:r>
      <w:r w:rsidR="00946EE7">
        <w:tab/>
        <w:t>Any other controlled substance classified</w:t>
      </w:r>
      <w:r w:rsidR="00235C73">
        <w:t xml:space="preserve"> in schedule I, II, or III</w:t>
      </w:r>
      <w:r w:rsidR="003F40D5">
        <w:t xml:space="preserve">, or controlled substance analog is </w:t>
      </w:r>
      <w:r w:rsidR="0038497E">
        <w:t>guilty of a class B felony.  Except  for a person who manufactures, delivers, or possesses with the intent to manufacture or deliver marijuana</w:t>
      </w:r>
      <w:r w:rsidR="001F5C34">
        <w:t>, any person found guilty under this subdivision must be sentenced:</w:t>
      </w:r>
    </w:p>
    <w:p w14:paraId="3654C281" w14:textId="66322AA7" w:rsidR="00B5722A" w:rsidRDefault="00D21D88" w:rsidP="006A64BD">
      <w:pPr>
        <w:pStyle w:val="ListParagraph"/>
        <w:numPr>
          <w:ilvl w:val="0"/>
          <w:numId w:val="62"/>
        </w:numPr>
        <w:spacing w:before="240" w:after="360"/>
      </w:pPr>
      <w:r>
        <w:t>For a second offense, to imprisonment for at least three years.</w:t>
      </w:r>
    </w:p>
    <w:p w14:paraId="390547A9" w14:textId="30841204" w:rsidR="00D21D88" w:rsidRDefault="00D21D88" w:rsidP="006A64BD">
      <w:pPr>
        <w:pStyle w:val="ListParagraph"/>
        <w:numPr>
          <w:ilvl w:val="0"/>
          <w:numId w:val="62"/>
        </w:numPr>
        <w:spacing w:before="240" w:after="360"/>
      </w:pPr>
      <w:r>
        <w:t>For a third or subsequent offense, to imprisonment for ten years.</w:t>
      </w:r>
    </w:p>
    <w:p w14:paraId="729933FB" w14:textId="77AF94E5" w:rsidR="00D21D88" w:rsidRDefault="00C74616" w:rsidP="00EE530A">
      <w:pPr>
        <w:spacing w:before="240" w:after="360"/>
        <w:ind w:left="2160" w:hanging="720"/>
      </w:pPr>
      <w:r>
        <w:t>c.</w:t>
      </w:r>
      <w:r w:rsidR="00D21D88">
        <w:tab/>
        <w:t>A substance classified in schedule IV, is guilty of a class C felony</w:t>
      </w:r>
      <w:r w:rsidR="00EE530A">
        <w:t xml:space="preserve"> and must be sentenced:</w:t>
      </w:r>
    </w:p>
    <w:p w14:paraId="2474C99E" w14:textId="4E2FCDC9" w:rsidR="00EE530A" w:rsidRDefault="00876C31" w:rsidP="006A64BD">
      <w:pPr>
        <w:pStyle w:val="ListParagraph"/>
        <w:numPr>
          <w:ilvl w:val="0"/>
          <w:numId w:val="63"/>
        </w:numPr>
        <w:spacing w:before="240" w:after="360"/>
      </w:pPr>
      <w:r>
        <w:t>For a second offense, to imprisonment for at least three months.</w:t>
      </w:r>
    </w:p>
    <w:p w14:paraId="7EC510B3" w14:textId="1DD3E508" w:rsidR="00876C31" w:rsidRDefault="00876C31" w:rsidP="006A64BD">
      <w:pPr>
        <w:pStyle w:val="ListParagraph"/>
        <w:numPr>
          <w:ilvl w:val="0"/>
          <w:numId w:val="63"/>
        </w:numPr>
        <w:spacing w:before="240" w:after="360"/>
      </w:pPr>
      <w:r>
        <w:t>For a third offense, to imprisonment for at least six months.</w:t>
      </w:r>
    </w:p>
    <w:p w14:paraId="368AD2F6" w14:textId="102912D8" w:rsidR="00876C31" w:rsidRDefault="00876C31" w:rsidP="006A64BD">
      <w:pPr>
        <w:pStyle w:val="ListParagraph"/>
        <w:numPr>
          <w:ilvl w:val="0"/>
          <w:numId w:val="63"/>
        </w:numPr>
        <w:spacing w:before="240" w:after="360"/>
      </w:pPr>
      <w:r>
        <w:t>For a fourth or subsequent off</w:t>
      </w:r>
      <w:r w:rsidR="00BF1564">
        <w:t>ense, to imprisonment for three years.</w:t>
      </w:r>
    </w:p>
    <w:p w14:paraId="1CDB965D" w14:textId="397F19C4" w:rsidR="00BF1564" w:rsidRDefault="00C74616" w:rsidP="00BF1564">
      <w:pPr>
        <w:spacing w:before="240" w:after="360"/>
        <w:ind w:left="1440"/>
      </w:pPr>
      <w:r>
        <w:t>d.</w:t>
      </w:r>
      <w:r w:rsidR="00BF1564">
        <w:t xml:space="preserve"> </w:t>
      </w:r>
      <w:r w:rsidR="00BF1564">
        <w:tab/>
        <w:t>A substan</w:t>
      </w:r>
      <w:r w:rsidR="008C0B29">
        <w:t>ce classified in schedule V, is guilty of a class A misdemeanor.</w:t>
      </w:r>
    </w:p>
    <w:p w14:paraId="398A3E98" w14:textId="600B6A9A" w:rsidR="008C0B29" w:rsidRDefault="005152B0" w:rsidP="005D4C73">
      <w:pPr>
        <w:spacing w:before="240" w:after="360"/>
        <w:ind w:left="1440" w:hanging="720"/>
      </w:pPr>
      <w:r>
        <w:t>2</w:t>
      </w:r>
      <w:r w:rsidR="00475AE9">
        <w:t>.</w:t>
      </w:r>
      <w:r w:rsidR="004A7DDE">
        <w:tab/>
        <w:t>A prior misdemeanor conviction under subsection 8 or a prior conviction under subsection</w:t>
      </w:r>
      <w:r w:rsidR="005D4C73">
        <w:t xml:space="preserve"> 3 or 4 of section 19-03.4-03 may not be considered a prior offense under subsections 1 and 4.</w:t>
      </w:r>
    </w:p>
    <w:p w14:paraId="244A5BDD" w14:textId="4BE5C4A1" w:rsidR="005D4C73" w:rsidRDefault="00475AE9" w:rsidP="005D4C73">
      <w:pPr>
        <w:spacing w:before="240" w:after="360"/>
        <w:ind w:left="1440" w:hanging="720"/>
      </w:pPr>
      <w:r>
        <w:lastRenderedPageBreak/>
        <w:t>3.</w:t>
      </w:r>
      <w:r w:rsidR="005D4C73">
        <w:tab/>
        <w:t>Except as</w:t>
      </w:r>
      <w:r w:rsidR="00340A71">
        <w:t xml:space="preserve"> authorized by this chapter, it is unlawful for any person to willfully, as defined in section 12.1-02-02, create, deliver, distribute, or dispense a counterfeit substance by means of the internet or any other means, or possess with intent to deliver, a counterfeit substance by means of the internet or any other means, but any person who violates section12-46-24 or 12-47</w:t>
      </w:r>
      <w:r w:rsidR="00F261C9">
        <w:t>-21 may not be prosecuted under this subsection.  Any person who violates this subsection with respect to:</w:t>
      </w:r>
    </w:p>
    <w:p w14:paraId="2F8A51D5" w14:textId="65C21567" w:rsidR="00F261C9" w:rsidRDefault="00475AE9" w:rsidP="00D27E4F">
      <w:pPr>
        <w:spacing w:before="240" w:after="360"/>
        <w:ind w:left="2160" w:hanging="720"/>
      </w:pPr>
      <w:r>
        <w:t>a.</w:t>
      </w:r>
      <w:r w:rsidR="00127C63">
        <w:tab/>
        <w:t>A counterfeit substance classified in schedule I, II, or III, is guilty of a class B felony</w:t>
      </w:r>
      <w:r w:rsidR="00D27E4F">
        <w:t>.</w:t>
      </w:r>
    </w:p>
    <w:p w14:paraId="1705B7A9" w14:textId="42A40CEF" w:rsidR="00D27E4F" w:rsidRDefault="003C336A" w:rsidP="00D27E4F">
      <w:pPr>
        <w:spacing w:before="240" w:after="360"/>
        <w:ind w:left="2160" w:hanging="720"/>
      </w:pPr>
      <w:r>
        <w:t>b.</w:t>
      </w:r>
      <w:r w:rsidR="00D27E4F">
        <w:tab/>
        <w:t>A counterfeit substance classified in schedule IV is guilty of a class C felony.</w:t>
      </w:r>
    </w:p>
    <w:p w14:paraId="57605F4B" w14:textId="199F6F16" w:rsidR="006F416D" w:rsidRDefault="003C336A" w:rsidP="006F416D">
      <w:pPr>
        <w:spacing w:before="240" w:after="360"/>
        <w:ind w:left="1440" w:hanging="720"/>
      </w:pPr>
      <w:r>
        <w:t>4</w:t>
      </w:r>
      <w:r w:rsidR="006F416D">
        <w:t xml:space="preserve"> </w:t>
      </w:r>
      <w:r w:rsidR="006F416D">
        <w:tab/>
        <w:t>A counterfeit substance classified in schedule V, is guilty of a class A misdemeanor.</w:t>
      </w:r>
    </w:p>
    <w:p w14:paraId="7B6B267D" w14:textId="0A015F20" w:rsidR="006F416D" w:rsidRDefault="00103AA2" w:rsidP="006A64BD">
      <w:pPr>
        <w:pStyle w:val="ListParagraph"/>
        <w:numPr>
          <w:ilvl w:val="0"/>
          <w:numId w:val="64"/>
        </w:numPr>
        <w:spacing w:before="240" w:after="360"/>
      </w:pPr>
      <w:r>
        <w:t>For second or subsequent offenses, in addition to any other penalty imposed under this section, if the person who violates this chapter was at least 21-years of age at the time of the offense and delivered a controlled substance to a person under the age of 18, the person is subject to, and the court shall impose</w:t>
      </w:r>
      <w:r w:rsidR="00F817B6">
        <w:t xml:space="preserve"> a term of imprisonment of at least four years.</w:t>
      </w:r>
    </w:p>
    <w:p w14:paraId="4A84B9B5" w14:textId="28FF6A2C" w:rsidR="00F817B6" w:rsidRDefault="00F817B6" w:rsidP="006A64BD">
      <w:pPr>
        <w:pStyle w:val="ListParagraph"/>
        <w:numPr>
          <w:ilvl w:val="0"/>
          <w:numId w:val="64"/>
        </w:numPr>
        <w:spacing w:before="240" w:after="360"/>
      </w:pPr>
      <w:r>
        <w:t>Which is to run consecutively</w:t>
      </w:r>
      <w:r w:rsidR="006E30D8">
        <w:t xml:space="preserve"> to any other sentence imposed.  It is not a defense that the defendant did not know the age of the person protected under subdivision a.</w:t>
      </w:r>
    </w:p>
    <w:p w14:paraId="26EC4F95" w14:textId="2EB1D48B" w:rsidR="006E30D8" w:rsidRDefault="00676831" w:rsidP="006A64BD">
      <w:pPr>
        <w:pStyle w:val="ListParagraph"/>
        <w:numPr>
          <w:ilvl w:val="0"/>
          <w:numId w:val="64"/>
        </w:numPr>
        <w:spacing w:before="240" w:after="360"/>
      </w:pPr>
      <w:r>
        <w:t>The penalty in subdivision a does not apply to a person who manufactures, delivers, or possesses with the intention to manufacture or deliver</w:t>
      </w:r>
      <w:r w:rsidR="008644FC">
        <w:t xml:space="preserve"> marijuana.</w:t>
      </w:r>
    </w:p>
    <w:p w14:paraId="11428D79" w14:textId="762E3D24" w:rsidR="008644FC" w:rsidRDefault="003C336A" w:rsidP="00D37F03">
      <w:pPr>
        <w:spacing w:before="240" w:after="360"/>
        <w:ind w:left="1440" w:hanging="720"/>
      </w:pPr>
      <w:r>
        <w:t>5</w:t>
      </w:r>
      <w:r w:rsidR="008644FC">
        <w:t xml:space="preserve"> </w:t>
      </w:r>
      <w:r w:rsidR="008644FC">
        <w:tab/>
        <w:t>A person at least eighteen years of age who solicits</w:t>
      </w:r>
      <w:r w:rsidR="00EC04BC">
        <w:t>, induces, intimidates, employe</w:t>
      </w:r>
      <w:r w:rsidR="00EF68E3">
        <w:t>e</w:t>
      </w:r>
      <w:r w:rsidR="00EC04BC">
        <w:t>s, hires, or uses a person under eighteen years of age to aid or assis</w:t>
      </w:r>
      <w:r w:rsidR="00323D11">
        <w:t>t</w:t>
      </w:r>
      <w:r w:rsidR="00EC04BC">
        <w:t xml:space="preserve"> in the manufacture</w:t>
      </w:r>
      <w:r w:rsidR="00323D11">
        <w:t>, delivery, or possession with intent to manufacture</w:t>
      </w:r>
      <w:r w:rsidR="00EF68E3">
        <w:t xml:space="preserve"> or deliver a controlled substance for the purpose of receiving consideration or payment for the </w:t>
      </w:r>
      <w:r w:rsidR="00EF68E3">
        <w:lastRenderedPageBreak/>
        <w:t>manufacture or delivery of any controlled</w:t>
      </w:r>
      <w:r w:rsidR="00D37F03">
        <w:t xml:space="preserve"> substance is guilty of a class B felony and must be sentenced;</w:t>
      </w:r>
    </w:p>
    <w:p w14:paraId="702EC7F5" w14:textId="18AD9EE3" w:rsidR="00D37F03" w:rsidRDefault="001D2B5E" w:rsidP="0047753F">
      <w:pPr>
        <w:spacing w:before="240" w:after="360"/>
        <w:ind w:left="2160" w:hanging="720"/>
      </w:pPr>
      <w:r>
        <w:t>a.</w:t>
      </w:r>
      <w:r w:rsidR="00D37F03">
        <w:tab/>
        <w:t>For a second or subsequent</w:t>
      </w:r>
      <w:r w:rsidR="0047753F">
        <w:t xml:space="preserve"> offense, to imprisonment for at least three years.</w:t>
      </w:r>
    </w:p>
    <w:p w14:paraId="6C1D416D" w14:textId="556BFCBF" w:rsidR="0047753F" w:rsidRDefault="001D2B5E" w:rsidP="0047753F">
      <w:pPr>
        <w:spacing w:before="240" w:after="360"/>
        <w:ind w:left="2160" w:hanging="720"/>
      </w:pPr>
      <w:r>
        <w:t>b.</w:t>
      </w:r>
      <w:r w:rsidR="0047753F">
        <w:tab/>
        <w:t>It is not a defense to a violation of this subsection that the defendant did not know the age of a person</w:t>
      </w:r>
      <w:r w:rsidR="005621FC">
        <w:t xml:space="preserve"> protected under this subsection.</w:t>
      </w:r>
    </w:p>
    <w:p w14:paraId="3200DC4E" w14:textId="2B41F39E" w:rsidR="005621FC" w:rsidRDefault="00930298" w:rsidP="005621FC">
      <w:pPr>
        <w:spacing w:before="240" w:after="360"/>
        <w:ind w:left="1440" w:hanging="720"/>
      </w:pPr>
      <w:r>
        <w:t>6.</w:t>
      </w:r>
      <w:r w:rsidR="005621FC">
        <w:tab/>
      </w:r>
      <w:r>
        <w:t>Acc</w:t>
      </w:r>
      <w:r w:rsidR="00E53402">
        <w:t>ept</w:t>
      </w:r>
      <w:r w:rsidR="005621FC">
        <w:t xml:space="preserve"> for a prior conviction equivalent to a misdemeanor violation of subsection 8 or a prior conviction under subsection 3 or 4</w:t>
      </w:r>
      <w:r w:rsidR="006E5871">
        <w:t xml:space="preserve"> of section 19-03.4-03</w:t>
      </w:r>
      <w:r w:rsidR="00DD6DF5">
        <w:t xml:space="preserve">, a violation of this title or a law of another state or the federal government which is equivalent to an offense with respect to the manufacture, delivery, or intent to deliver a controlled substance under this </w:t>
      </w:r>
      <w:r w:rsidR="002C5A79">
        <w:t>title</w:t>
      </w:r>
      <w:r w:rsidR="002820AF">
        <w:t xml:space="preserve"> committed while the offender was an adult and which resulted in a plea or finding of guilt must be considered a prior offense under subsection 1,4, and 5.  The prior offense must be alleged in the complaint, information, or indictment.  The plea or finding of guilt for the prior</w:t>
      </w:r>
      <w:r w:rsidR="002A11BC">
        <w:t xml:space="preserve"> offense must have occurred before the date of the commission of the offense or offenses charged in the complaint, information, or indictment.</w:t>
      </w:r>
    </w:p>
    <w:p w14:paraId="2A28398A" w14:textId="717B5248" w:rsidR="002A11BC" w:rsidRDefault="005A2C91" w:rsidP="005621FC">
      <w:pPr>
        <w:spacing w:before="240" w:after="360"/>
        <w:ind w:left="1440" w:hanging="720"/>
      </w:pPr>
      <w:r>
        <w:t>7.</w:t>
      </w:r>
      <w:r w:rsidR="002A11BC">
        <w:tab/>
        <w:t>It is unlawful</w:t>
      </w:r>
      <w:r w:rsidR="006904CC">
        <w:t xml:space="preserve"> for a person willfully, as defined in section 12.1-02-02:</w:t>
      </w:r>
    </w:p>
    <w:p w14:paraId="25976660" w14:textId="460D6DC7" w:rsidR="006904CC" w:rsidRDefault="005A2C91" w:rsidP="009B5D89">
      <w:pPr>
        <w:spacing w:before="240" w:after="360"/>
        <w:ind w:left="2160" w:hanging="720"/>
      </w:pPr>
      <w:r>
        <w:t>a.</w:t>
      </w:r>
      <w:r w:rsidR="006904CC">
        <w:tab/>
        <w:t>Serve as an agent, intermediary or other entity that causes</w:t>
      </w:r>
      <w:r w:rsidR="00295F2F">
        <w:t xml:space="preserve"> the internet to be used to bring together a buyer and seller to engage in the delivery, distribution, or dispensing of a controlled</w:t>
      </w:r>
      <w:r w:rsidR="00E83537">
        <w:t xml:space="preserve"> substance in a manner not authorized by this chapter; or</w:t>
      </w:r>
    </w:p>
    <w:p w14:paraId="29EF04EB" w14:textId="4A03623D" w:rsidR="00E83537" w:rsidRDefault="005A2C91" w:rsidP="009B5D89">
      <w:pPr>
        <w:spacing w:before="240" w:after="360"/>
        <w:ind w:left="2160" w:hanging="720"/>
      </w:pPr>
      <w:r>
        <w:t>b.</w:t>
      </w:r>
      <w:r w:rsidR="00E83537">
        <w:tab/>
        <w:t>Offer to fill or refill a prescription for a controlled su</w:t>
      </w:r>
      <w:r w:rsidR="00AF3500">
        <w:t>bstance based solely on a consumer’s completion of an online medical questionnaire.</w:t>
      </w:r>
    </w:p>
    <w:p w14:paraId="60BCF58B" w14:textId="54B156F4" w:rsidR="00AF3500" w:rsidRDefault="005A2C91" w:rsidP="009B5D89">
      <w:pPr>
        <w:spacing w:before="240" w:after="360"/>
        <w:ind w:left="2160" w:hanging="720"/>
      </w:pPr>
      <w:r>
        <w:t>c.</w:t>
      </w:r>
      <w:r w:rsidR="00AF3500">
        <w:tab/>
        <w:t>A person who violates this subsection is guilty of a class C felony.</w:t>
      </w:r>
    </w:p>
    <w:p w14:paraId="6B9738B1" w14:textId="3877342B" w:rsidR="00AF3500" w:rsidRDefault="005A2C91" w:rsidP="00B37305">
      <w:pPr>
        <w:spacing w:before="240" w:after="360"/>
        <w:ind w:left="2160" w:hanging="720"/>
      </w:pPr>
      <w:r>
        <w:lastRenderedPageBreak/>
        <w:t>d.</w:t>
      </w:r>
      <w:r w:rsidR="00AF3500">
        <w:tab/>
        <w:t>It is unlawful for any person to willfully, as defined in section 12.1-02</w:t>
      </w:r>
      <w:r w:rsidR="00177037">
        <w:t>-02, possess a controlled substance or a controlled substance analog unless the substance was obtained directly</w:t>
      </w:r>
      <w:r w:rsidR="00B37305">
        <w:t xml:space="preserve"> from, or pursuant to, a valid prescri</w:t>
      </w:r>
      <w:r w:rsidR="00566E76">
        <w:t>ption or order of a practitioner while acting in the course of the practitioner’s professional practice, or except as otherwise authorized by this chapter, but any person who violates section 12-46-24 or 12-47-21 may not be prosecuted under this subsection.</w:t>
      </w:r>
    </w:p>
    <w:p w14:paraId="5DC8F664" w14:textId="44603B3B" w:rsidR="00566E76" w:rsidRDefault="009475D7" w:rsidP="00B37305">
      <w:pPr>
        <w:spacing w:before="240" w:after="360"/>
        <w:ind w:left="2160" w:hanging="720"/>
      </w:pPr>
      <w:r>
        <w:t>e.</w:t>
      </w:r>
      <w:r w:rsidR="008B19F6">
        <w:tab/>
        <w:t>Except as otherwise provided in this subsection, any person who violates this subsection is guilty</w:t>
      </w:r>
      <w:r w:rsidR="00260C39">
        <w:t xml:space="preserve"> of a class A misdemeanor for the first offense under the subsection and a class C felony for a second or subsequent offense under this subsection.</w:t>
      </w:r>
    </w:p>
    <w:p w14:paraId="7C2B7856" w14:textId="41033859" w:rsidR="00260C39" w:rsidRDefault="009475D7" w:rsidP="00B37305">
      <w:pPr>
        <w:spacing w:before="240" w:after="360"/>
        <w:ind w:left="2160" w:hanging="720"/>
      </w:pPr>
      <w:r>
        <w:t>f.</w:t>
      </w:r>
      <w:r w:rsidR="00143370">
        <w:tab/>
      </w:r>
      <w:r w:rsidR="00D40DC9">
        <w:t>If, at the time of the offense</w:t>
      </w:r>
      <w:r w:rsidR="005A1396">
        <w:t xml:space="preserve"> the person is in or on the real property comprising a public or private, elementary or secondary school or a public career and tech</w:t>
      </w:r>
      <w:r w:rsidR="00D461EB">
        <w:t>nical</w:t>
      </w:r>
      <w:r w:rsidR="0019753A">
        <w:t xml:space="preserve"> education school, the person is guilty of a class B felony, unless the offense involved marijuana.</w:t>
      </w:r>
    </w:p>
    <w:p w14:paraId="38880337" w14:textId="6BC3421D" w:rsidR="0019753A" w:rsidRDefault="0030358F" w:rsidP="00B37305">
      <w:pPr>
        <w:spacing w:before="240" w:after="360"/>
        <w:ind w:left="2160" w:hanging="720"/>
      </w:pPr>
      <w:r>
        <w:t>g.</w:t>
      </w:r>
      <w:r w:rsidR="00931C25">
        <w:tab/>
        <w:t>A person who violates this subsection regarding possession of marijuana is guilty of a class B misdemeanor.</w:t>
      </w:r>
    </w:p>
    <w:p w14:paraId="27D566AD" w14:textId="47637E64" w:rsidR="00042DDB" w:rsidRDefault="0030358F" w:rsidP="00B37305">
      <w:pPr>
        <w:spacing w:before="240" w:after="360"/>
        <w:ind w:left="2160" w:hanging="720"/>
      </w:pPr>
      <w:r>
        <w:t>h.</w:t>
      </w:r>
      <w:r w:rsidR="00931C25">
        <w:tab/>
        <w:t>If an individual</w:t>
      </w:r>
      <w:r w:rsidR="00181290">
        <w:t xml:space="preserve"> is </w:t>
      </w:r>
      <w:r w:rsidR="00AC137F">
        <w:t>sentenced</w:t>
      </w:r>
      <w:r w:rsidR="00181290">
        <w:t xml:space="preserve"> to the legal and physical custody of the department</w:t>
      </w:r>
      <w:r w:rsidR="00F50FA7">
        <w:t xml:space="preserve"> of corrections and rehabili</w:t>
      </w:r>
      <w:r w:rsidR="006A3169">
        <w:t>tation under this subsection, the department may place the individual in a drug and alcohol treatment program designated by the department.  Upon the successful completion of the drug and alcohol program, the department</w:t>
      </w:r>
      <w:r w:rsidR="00A45B93">
        <w:t xml:space="preserve"> shall release the individual from imprisonment to begin any court-ordered</w:t>
      </w:r>
      <w:r w:rsidR="00F102D3">
        <w:t xml:space="preserve"> period of</w:t>
      </w:r>
      <w:r w:rsidR="00A45B93">
        <w:t xml:space="preserve"> probation</w:t>
      </w:r>
      <w:r w:rsidR="00042DDB">
        <w:t>.</w:t>
      </w:r>
      <w:r w:rsidR="00A45B93">
        <w:t xml:space="preserve"> </w:t>
      </w:r>
    </w:p>
    <w:p w14:paraId="6ECB1983" w14:textId="4E34B227" w:rsidR="00931C25" w:rsidRDefault="0030358F" w:rsidP="00D162F1">
      <w:pPr>
        <w:spacing w:before="240" w:after="360"/>
        <w:ind w:left="2160" w:hanging="720"/>
      </w:pPr>
      <w:r>
        <w:t>i.</w:t>
      </w:r>
      <w:r w:rsidR="00042DDB">
        <w:tab/>
        <w:t xml:space="preserve">If the individual is </w:t>
      </w:r>
      <w:r w:rsidR="00D162F1">
        <w:t xml:space="preserve">not subject to any court-ordered probation, </w:t>
      </w:r>
      <w:r w:rsidR="00A45B93">
        <w:t>the court shall order</w:t>
      </w:r>
      <w:r w:rsidR="00F102D3">
        <w:t xml:space="preserve"> the individual to </w:t>
      </w:r>
      <w:r w:rsidR="00861F8C">
        <w:t xml:space="preserve">serve the remainder of the sentence or imprisonment </w:t>
      </w:r>
      <w:r w:rsidR="00861F8C">
        <w:lastRenderedPageBreak/>
        <w:t>on supervised probation subject to the terms and conditions imposed by the court.</w:t>
      </w:r>
    </w:p>
    <w:p w14:paraId="65734BF1" w14:textId="058A0095" w:rsidR="00861F8C" w:rsidRDefault="000E6198" w:rsidP="00D162F1">
      <w:pPr>
        <w:spacing w:before="240" w:after="360"/>
        <w:ind w:left="2160" w:hanging="720"/>
      </w:pPr>
      <w:r>
        <w:t>j.</w:t>
      </w:r>
      <w:r w:rsidR="00861F8C">
        <w:tab/>
        <w:t>Probation under this subsection may include placement</w:t>
      </w:r>
      <w:r w:rsidR="0078295E">
        <w:t xml:space="preserve"> in another facility, treatment program, or drug court.  If an individual</w:t>
      </w:r>
      <w:r w:rsidR="006D41E2">
        <w:t xml:space="preserve"> is placed in another facility or treatment</w:t>
      </w:r>
      <w:r w:rsidR="002E42B1">
        <w:t xml:space="preserve"> program upon release</w:t>
      </w:r>
      <w:r w:rsidR="008E3874">
        <w:t xml:space="preserve"> from imprisonment, the remainder of the sentence must be considered as time spent in custody</w:t>
      </w:r>
      <w:r w:rsidR="00DD7FAC">
        <w:t>.</w:t>
      </w:r>
    </w:p>
    <w:p w14:paraId="04F43D3F" w14:textId="626FE58B" w:rsidR="00DD7FAC" w:rsidRDefault="000E6198" w:rsidP="00D162F1">
      <w:pPr>
        <w:spacing w:before="240" w:after="360"/>
        <w:ind w:left="2160" w:hanging="720"/>
      </w:pPr>
      <w:r>
        <w:t>k.</w:t>
      </w:r>
      <w:r w:rsidR="00DD7FAC">
        <w:tab/>
        <w:t>An individual incarcerated under the subsection</w:t>
      </w:r>
      <w:r w:rsidR="007D2590">
        <w:t xml:space="preserve"> as a result of a second probation revocation is not eligible for release from imprisonment upon the successful completion</w:t>
      </w:r>
      <w:r w:rsidR="00385AC2">
        <w:t xml:space="preserve"> of treatment.</w:t>
      </w:r>
    </w:p>
    <w:p w14:paraId="4825DDE6" w14:textId="2F81ACD1" w:rsidR="00385AC2" w:rsidRDefault="000E6198" w:rsidP="00EA21CE">
      <w:pPr>
        <w:spacing w:before="240" w:after="360"/>
        <w:ind w:left="2160" w:hanging="720"/>
      </w:pPr>
      <w:r>
        <w:t>l.</w:t>
      </w:r>
      <w:r w:rsidR="00385AC2">
        <w:tab/>
        <w:t xml:space="preserve">A person who violates this subsection regarding possession of </w:t>
      </w:r>
      <w:r w:rsidR="00040DA7">
        <w:t>five or fewer capsules, pills, or tablets of a schedule II, III, IV, or V controlled</w:t>
      </w:r>
      <w:r w:rsidR="00391DFA">
        <w:t xml:space="preserve"> substance</w:t>
      </w:r>
      <w:r w:rsidR="00541CF9">
        <w:t xml:space="preserve"> or controlled substance</w:t>
      </w:r>
      <w:r w:rsidR="00391DFA">
        <w:t xml:space="preserve"> analog</w:t>
      </w:r>
      <w:r w:rsidR="00541CF9">
        <w:t xml:space="preserve"> is guilty of a class A misdemeanor.</w:t>
      </w:r>
    </w:p>
    <w:p w14:paraId="5140D6E2" w14:textId="3D4C2637" w:rsidR="00A325AF" w:rsidRDefault="00EA21CE" w:rsidP="00DA1D72">
      <w:pPr>
        <w:spacing w:before="240" w:after="360"/>
        <w:ind w:left="1440" w:hanging="720"/>
      </w:pPr>
      <w:r>
        <w:t>8.</w:t>
      </w:r>
      <w:r w:rsidR="00E17264">
        <w:tab/>
        <w:t>Except as provided by section 19-</w:t>
      </w:r>
      <w:r w:rsidR="00A325AF">
        <w:t xml:space="preserve">03.1-45, a court may order a person who violates this chapter or chapter 19-03.4 to undergo a drug addiction </w:t>
      </w:r>
      <w:r w:rsidR="00FB4900">
        <w:t>evaluation by a licensed addition counselor.  The evaluation must indicate the prospects for rehabilitation and whether addiction treatment is required.  If ordered, the evaluation must be submitted</w:t>
      </w:r>
      <w:r w:rsidR="00DA1D72">
        <w:t xml:space="preserve"> to the court</w:t>
      </w:r>
      <w:r w:rsidR="00CE60A7">
        <w:t xml:space="preserve"> before imposing punishment for a felony violation or a misdemeanor violation.  A court shall order a person who violates subdivision e of subsection 8 to undergo the drug addiction evaluation.</w:t>
      </w:r>
    </w:p>
    <w:p w14:paraId="0FC63DD3" w14:textId="09EABD02" w:rsidR="00B81FBD" w:rsidRDefault="00EA21CE" w:rsidP="00B10B5F">
      <w:pPr>
        <w:spacing w:before="240" w:after="360"/>
        <w:ind w:left="1440" w:hanging="720"/>
      </w:pPr>
      <w:r>
        <w:t>9.</w:t>
      </w:r>
      <w:r w:rsidR="00CE60A7">
        <w:tab/>
        <w:t>If a person</w:t>
      </w:r>
      <w:r w:rsidR="00954DA9">
        <w:t xml:space="preserve"> pleads guilty or is found guilty of a first offense regarding possession of one ounce (28.35 grams) or less of marijuana and a judgement of guilt is entered, a court, upon motion, shall seal the court record of that conviction if the person is not subsequently</w:t>
      </w:r>
      <w:r w:rsidR="008427C1">
        <w:t xml:space="preserve"> convicted within two years</w:t>
      </w:r>
      <w:r w:rsidR="002A3FAA">
        <w:t xml:space="preserve"> of a further violation of this chapter.  Once sealed, the court record may not be opened even by order of the court.  A court shall order a person who violates subdivision e of subsection 8 to undergo the drug addiction evaluations.</w:t>
      </w:r>
    </w:p>
    <w:p w14:paraId="2F5D015B" w14:textId="22B1884A" w:rsidR="002A3FAA" w:rsidRDefault="002A3FAA" w:rsidP="00600ACF">
      <w:pPr>
        <w:spacing w:before="240" w:after="360"/>
      </w:pPr>
      <w:r>
        <w:lastRenderedPageBreak/>
        <w:t>Under NDCC section 19-03</w:t>
      </w:r>
      <w:r w:rsidR="00A91A08">
        <w:t xml:space="preserve">.4-03, </w:t>
      </w:r>
      <w:r w:rsidR="00A91A08" w:rsidRPr="00A91A08">
        <w:rPr>
          <w:b/>
          <w:bCs/>
        </w:rPr>
        <w:t>Unlawful Possession of Drug Paraphernalia – Penalty</w:t>
      </w:r>
      <w:r w:rsidR="00A91A08">
        <w:t>:</w:t>
      </w:r>
    </w:p>
    <w:p w14:paraId="13B9C14E" w14:textId="746A0792" w:rsidR="00784151" w:rsidRDefault="00784151" w:rsidP="002A447B">
      <w:pPr>
        <w:spacing w:before="240" w:after="360"/>
        <w:ind w:left="2160" w:hanging="720"/>
      </w:pPr>
      <w:r>
        <w:t>6</w:t>
      </w:r>
      <w:r>
        <w:tab/>
        <w:t>A person may not use or possess with intent to use drug paraphernalia to plant, propagate, cultivate, grow, harvest, manufacture, compound, convert, produce, process, prepare, test, analyze, pack, repack, store, contain, or conceal a controlled substance in violation of chapter 19-03</w:t>
      </w:r>
      <w:r w:rsidR="009B6675">
        <w:t xml:space="preserve">.1.  Any person violating this section is guilty of a class C felony if the drug paraphernalia is used, or possessed with intent to be used, to manufacture, compound, convert, produce, process, prepare, test, or </w:t>
      </w:r>
      <w:r w:rsidR="004D3D0D">
        <w:t>analyze</w:t>
      </w:r>
      <w:r w:rsidR="009B6675">
        <w:t xml:space="preserve"> a controlled substance, other than marijuana, classified in </w:t>
      </w:r>
      <w:r w:rsidR="004D3D0D">
        <w:t>schedule I, II, or III of chapter 19-03.1.</w:t>
      </w:r>
    </w:p>
    <w:p w14:paraId="07FD6174" w14:textId="68D09C20" w:rsidR="002A447B" w:rsidRDefault="002A447B" w:rsidP="002A447B">
      <w:pPr>
        <w:spacing w:before="240" w:after="360"/>
        <w:ind w:left="2160" w:hanging="720"/>
      </w:pPr>
      <w:r>
        <w:t>7</w:t>
      </w:r>
      <w:r>
        <w:tab/>
        <w:t xml:space="preserve">A person may not use or possess with the intent to use drug </w:t>
      </w:r>
      <w:r w:rsidR="00AE2217">
        <w:t>paraphernalia</w:t>
      </w:r>
      <w:r>
        <w:t xml:space="preserve"> to inject, ingest, inhale, or otherwise induce into the human body a controlled substance, other than marijuana</w:t>
      </w:r>
      <w:r w:rsidR="007F0D4F">
        <w:t>, classified in schedule I, II, or III of chapter 19-03.1.  A person violating this subsection is guilty of a class A misdemeanor.  If a person previously has been convicted of an offense under this title,</w:t>
      </w:r>
      <w:r w:rsidR="00C949EB">
        <w:t xml:space="preserve"> other than an offense related to marijuana, or an equivalent</w:t>
      </w:r>
      <w:r w:rsidR="00AE2217">
        <w:t xml:space="preserve"> offense from another court in the United States, a violation of </w:t>
      </w:r>
      <w:r w:rsidR="006F7F74">
        <w:t>this</w:t>
      </w:r>
      <w:r w:rsidR="00AE2217">
        <w:t xml:space="preserve"> subsection is a class C felony.</w:t>
      </w:r>
    </w:p>
    <w:p w14:paraId="59F6443C" w14:textId="77777777" w:rsidR="00F540C9" w:rsidRDefault="00AE2217" w:rsidP="002A447B">
      <w:pPr>
        <w:spacing w:before="240" w:after="360"/>
        <w:ind w:left="2160" w:hanging="720"/>
      </w:pPr>
      <w:r>
        <w:t>8</w:t>
      </w:r>
      <w:r w:rsidR="00613855">
        <w:tab/>
        <w:t>A person may not use or possess with intent</w:t>
      </w:r>
      <w:r w:rsidR="0089390C">
        <w:t xml:space="preserve"> to use drug paraphernalia to plant, propagate, cultivate, grow, harvest, manufacture, compound, convert,</w:t>
      </w:r>
      <w:r w:rsidR="005F1CDB">
        <w:t xml:space="preserve"> produce, process, prepare, test, analyze, pack, repack, store, contain, or conceal marijuana in violation of chapter 19-03</w:t>
      </w:r>
      <w:r w:rsidR="00F540C9">
        <w:t>.1.  A person violating this subsection is guilty of a class A misdemeanor.</w:t>
      </w:r>
    </w:p>
    <w:p w14:paraId="6B11043C" w14:textId="77777777" w:rsidR="00454174" w:rsidRDefault="00F540C9" w:rsidP="002A447B">
      <w:pPr>
        <w:spacing w:before="240" w:after="360"/>
        <w:ind w:left="2160" w:hanging="720"/>
      </w:pPr>
      <w:r>
        <w:t>9</w:t>
      </w:r>
      <w:r>
        <w:tab/>
        <w:t>A person may not use or possess with the intent to use drug parap</w:t>
      </w:r>
      <w:r w:rsidR="009C24AB">
        <w:t>hernalia to ingest, inhale, or otherwise</w:t>
      </w:r>
      <w:r w:rsidR="005179B9">
        <w:t xml:space="preserve"> introduce into the human body marijuana in violation of chapter 19-03</w:t>
      </w:r>
      <w:r w:rsidR="00454174">
        <w:t>.1. A person violating this subsection is guilty of a class B misdemeanor.</w:t>
      </w:r>
    </w:p>
    <w:p w14:paraId="37CD7C49" w14:textId="77777777" w:rsidR="001575DC" w:rsidRDefault="00454174" w:rsidP="00B81FBD">
      <w:pPr>
        <w:spacing w:before="240" w:after="360"/>
        <w:rPr>
          <w:b/>
          <w:bCs/>
        </w:rPr>
      </w:pPr>
      <w:r>
        <w:lastRenderedPageBreak/>
        <w:t>Under NDCC section 19-03</w:t>
      </w:r>
      <w:r w:rsidR="001575DC">
        <w:t xml:space="preserve">.1-22.3, </w:t>
      </w:r>
      <w:r w:rsidR="001575DC">
        <w:rPr>
          <w:b/>
          <w:bCs/>
        </w:rPr>
        <w:t>Ingesting a Controlled Substance</w:t>
      </w:r>
    </w:p>
    <w:p w14:paraId="0F581D20" w14:textId="4957CCCF" w:rsidR="00AE2217" w:rsidRDefault="00A03AD3" w:rsidP="002945DC">
      <w:pPr>
        <w:spacing w:before="240" w:after="360"/>
        <w:ind w:left="2160" w:hanging="720"/>
      </w:pPr>
      <w:r>
        <w:tab/>
      </w:r>
      <w:r w:rsidR="007C0A26">
        <w:t xml:space="preserve">- </w:t>
      </w:r>
      <w:r>
        <w:t xml:space="preserve">Venue for Violation – Penalty, a person who </w:t>
      </w:r>
      <w:r w:rsidR="002945DC">
        <w:t>intentionally</w:t>
      </w:r>
      <w:r>
        <w:t xml:space="preserve"> ingests</w:t>
      </w:r>
      <w:r w:rsidR="002945DC">
        <w:t>, inhales, injects, or otherwise</w:t>
      </w:r>
      <w:r w:rsidR="00AE2217">
        <w:tab/>
      </w:r>
      <w:r w:rsidR="002945DC">
        <w:t>takes into the body a controlled substance, unless the substance was obtained</w:t>
      </w:r>
      <w:r w:rsidR="00225628">
        <w:t xml:space="preserve"> directly from a practitioner or pursuant to a valid prescription or order of a practitioner</w:t>
      </w:r>
      <w:r w:rsidR="006C1E19">
        <w:t xml:space="preserve"> while acting in the course of the practitioner’s professional practice, is guilty of a class B misdemeanor.  The venue for a violation of this section exists in either the jurisdiction</w:t>
      </w:r>
      <w:r w:rsidR="00FE0225">
        <w:t xml:space="preserve"> in which the controlled substance was ingested, inhaled, injected, or otherwise taken into the body or the jurisdiction in which the controlled substance was detected</w:t>
      </w:r>
      <w:r w:rsidR="00833952">
        <w:t xml:space="preserve"> in the body of the accused.</w:t>
      </w:r>
    </w:p>
    <w:p w14:paraId="744C6AA3" w14:textId="43851DB2" w:rsidR="000250DB" w:rsidRPr="00D23A2B" w:rsidRDefault="00833952" w:rsidP="00D23A2B">
      <w:pPr>
        <w:spacing w:before="240" w:after="360"/>
        <w:rPr>
          <w:b/>
          <w:bCs/>
        </w:rPr>
      </w:pPr>
      <w:r>
        <w:t>Under NDCC section 19-03.1-22.5</w:t>
      </w:r>
      <w:r w:rsidR="00823B15">
        <w:t xml:space="preserve">, </w:t>
      </w:r>
      <w:r w:rsidR="000250DB">
        <w:rPr>
          <w:b/>
          <w:bCs/>
        </w:rPr>
        <w:t>Controlled Substance Analog Use</w:t>
      </w:r>
      <w:r w:rsidR="00D23A2B">
        <w:rPr>
          <w:b/>
          <w:bCs/>
        </w:rPr>
        <w:t xml:space="preserve"> - </w:t>
      </w:r>
      <w:r w:rsidR="000250DB">
        <w:t>Venue for Violation – Penalty, violations are as follows:</w:t>
      </w:r>
    </w:p>
    <w:p w14:paraId="6AA08DBC" w14:textId="78468391" w:rsidR="00D83938" w:rsidRDefault="00D83938" w:rsidP="006A64BD">
      <w:pPr>
        <w:pStyle w:val="ListParagraph"/>
        <w:numPr>
          <w:ilvl w:val="0"/>
          <w:numId w:val="65"/>
        </w:numPr>
        <w:spacing w:before="240" w:after="360"/>
      </w:pPr>
      <w:r>
        <w:t>The use of controlled substance analog includes the ingestion, inhalation, absorption</w:t>
      </w:r>
      <w:r w:rsidR="00E90DA1">
        <w:t>, or any other method of taking the controlled substance analog into the body.  An individual who intentionally uses a controlled</w:t>
      </w:r>
      <w:r w:rsidR="00EA3896">
        <w:t xml:space="preserve"> substance analog is guilty of a class A misdemeanor for a first offense and a class C felony for a second or subsequent </w:t>
      </w:r>
      <w:r w:rsidR="00C07A5C">
        <w:t>offense unless</w:t>
      </w:r>
      <w:r w:rsidR="00EA3896">
        <w:t xml:space="preserve"> the individual obtains the analog directly from a practitioner or pursuant to a valid prescription</w:t>
      </w:r>
      <w:r w:rsidR="00C8353D">
        <w:t xml:space="preserve"> or order of a practitioner</w:t>
      </w:r>
      <w:r w:rsidR="001745A3">
        <w:t>.</w:t>
      </w:r>
    </w:p>
    <w:p w14:paraId="0D551D8C" w14:textId="3DCA9D3C" w:rsidR="001745A3" w:rsidRDefault="001745A3" w:rsidP="006A64BD">
      <w:pPr>
        <w:pStyle w:val="ListParagraph"/>
        <w:numPr>
          <w:ilvl w:val="0"/>
          <w:numId w:val="65"/>
        </w:numPr>
        <w:spacing w:before="240" w:after="360"/>
      </w:pPr>
      <w:r>
        <w:t>The venue for a violation under this section exists in the jurisdiction in which the substance was used or in which the substance was detected.</w:t>
      </w:r>
    </w:p>
    <w:p w14:paraId="6F1626B3" w14:textId="18A6EE76" w:rsidR="001745A3" w:rsidRDefault="00EC47D8" w:rsidP="00EC47D8">
      <w:pPr>
        <w:spacing w:before="240" w:after="360"/>
      </w:pPr>
      <w:r>
        <w:t xml:space="preserve">Under NDCC section 12.1-32-01, </w:t>
      </w:r>
      <w:r>
        <w:rPr>
          <w:b/>
          <w:bCs/>
        </w:rPr>
        <w:t xml:space="preserve">Classification of Offenses </w:t>
      </w:r>
      <w:r w:rsidR="00D23A2B">
        <w:rPr>
          <w:b/>
          <w:bCs/>
        </w:rPr>
        <w:t>–</w:t>
      </w:r>
      <w:r>
        <w:rPr>
          <w:b/>
          <w:bCs/>
        </w:rPr>
        <w:t xml:space="preserve"> </w:t>
      </w:r>
      <w:r w:rsidR="00D23A2B">
        <w:t>Penalties, state offenses are divided in to seven classes which are denominated and subject to maximum penalties, as follows:</w:t>
      </w:r>
    </w:p>
    <w:p w14:paraId="27058523" w14:textId="591AE059" w:rsidR="00D23A2B" w:rsidRDefault="001B7376" w:rsidP="006A64BD">
      <w:pPr>
        <w:pStyle w:val="ListParagraph"/>
        <w:numPr>
          <w:ilvl w:val="0"/>
          <w:numId w:val="66"/>
        </w:numPr>
        <w:spacing w:before="240" w:after="360"/>
        <w:rPr>
          <w:b/>
          <w:bCs/>
        </w:rPr>
      </w:pPr>
      <w:r>
        <w:rPr>
          <w:b/>
          <w:bCs/>
        </w:rPr>
        <w:t>Class AA felony: up to life imprisonment without parole;</w:t>
      </w:r>
    </w:p>
    <w:p w14:paraId="47B1914E" w14:textId="12935C94" w:rsidR="001B7376" w:rsidRDefault="001B7376" w:rsidP="006A64BD">
      <w:pPr>
        <w:pStyle w:val="ListParagraph"/>
        <w:numPr>
          <w:ilvl w:val="0"/>
          <w:numId w:val="66"/>
        </w:numPr>
        <w:spacing w:before="240" w:after="360"/>
        <w:rPr>
          <w:b/>
          <w:bCs/>
        </w:rPr>
      </w:pPr>
      <w:r>
        <w:rPr>
          <w:b/>
          <w:bCs/>
        </w:rPr>
        <w:t>Class A felony: up to 20 years imprisonment, $20,000 fine, or both;</w:t>
      </w:r>
    </w:p>
    <w:p w14:paraId="2BEBF0FC" w14:textId="1D647279" w:rsidR="001B7376" w:rsidRDefault="001B7376" w:rsidP="006A64BD">
      <w:pPr>
        <w:pStyle w:val="ListParagraph"/>
        <w:numPr>
          <w:ilvl w:val="0"/>
          <w:numId w:val="66"/>
        </w:numPr>
        <w:spacing w:before="240" w:after="360"/>
        <w:rPr>
          <w:b/>
          <w:bCs/>
        </w:rPr>
      </w:pPr>
      <w:r>
        <w:rPr>
          <w:b/>
          <w:bCs/>
        </w:rPr>
        <w:t>Class B felony: up to 10 years imprisonment, $20,000 fine, or both;</w:t>
      </w:r>
    </w:p>
    <w:p w14:paraId="55C7D689" w14:textId="53A0E442" w:rsidR="001B7376" w:rsidRDefault="001B7376" w:rsidP="006A64BD">
      <w:pPr>
        <w:pStyle w:val="ListParagraph"/>
        <w:numPr>
          <w:ilvl w:val="0"/>
          <w:numId w:val="66"/>
        </w:numPr>
        <w:spacing w:before="240" w:after="360"/>
        <w:rPr>
          <w:b/>
          <w:bCs/>
        </w:rPr>
      </w:pPr>
      <w:r>
        <w:rPr>
          <w:b/>
          <w:bCs/>
        </w:rPr>
        <w:lastRenderedPageBreak/>
        <w:t>Class C felony: up to 5 years imprisonment, $10,000 fine, or both;</w:t>
      </w:r>
    </w:p>
    <w:p w14:paraId="630C4F1A" w14:textId="62EFAA80" w:rsidR="001B7376" w:rsidRDefault="001B7376" w:rsidP="006A64BD">
      <w:pPr>
        <w:pStyle w:val="ListParagraph"/>
        <w:numPr>
          <w:ilvl w:val="0"/>
          <w:numId w:val="66"/>
        </w:numPr>
        <w:spacing w:before="240" w:after="360"/>
        <w:rPr>
          <w:b/>
          <w:bCs/>
        </w:rPr>
      </w:pPr>
      <w:r>
        <w:rPr>
          <w:b/>
          <w:bCs/>
        </w:rPr>
        <w:t>Class A misdemeanor: up to one year imprisonment, $3,000 fine, or both;</w:t>
      </w:r>
    </w:p>
    <w:p w14:paraId="2E0DE116" w14:textId="427ECCD4" w:rsidR="001B7376" w:rsidRDefault="001B7376" w:rsidP="006A64BD">
      <w:pPr>
        <w:pStyle w:val="ListParagraph"/>
        <w:numPr>
          <w:ilvl w:val="0"/>
          <w:numId w:val="66"/>
        </w:numPr>
        <w:spacing w:before="240" w:after="360"/>
        <w:rPr>
          <w:b/>
          <w:bCs/>
        </w:rPr>
      </w:pPr>
      <w:r>
        <w:rPr>
          <w:b/>
          <w:bCs/>
        </w:rPr>
        <w:t>Class B misdemeanor: up to 30 days imprisonment, $1,500 fine, or both; or</w:t>
      </w:r>
    </w:p>
    <w:p w14:paraId="21D00069" w14:textId="6D000A46" w:rsidR="001B7376" w:rsidRDefault="001B7376" w:rsidP="006A64BD">
      <w:pPr>
        <w:pStyle w:val="ListParagraph"/>
        <w:numPr>
          <w:ilvl w:val="0"/>
          <w:numId w:val="66"/>
        </w:numPr>
        <w:spacing w:before="240" w:after="360"/>
        <w:rPr>
          <w:b/>
          <w:bCs/>
        </w:rPr>
      </w:pPr>
      <w:r>
        <w:rPr>
          <w:b/>
          <w:bCs/>
        </w:rPr>
        <w:t>Infraction: up to a $1,000 fine.</w:t>
      </w:r>
    </w:p>
    <w:p w14:paraId="0057EA9B" w14:textId="0D2BC184" w:rsidR="001B7376" w:rsidRDefault="003A0D8C" w:rsidP="001B7376">
      <w:pPr>
        <w:spacing w:before="240" w:after="360"/>
      </w:pPr>
      <w:r>
        <w:t>Federal trafficking penalties are provided under the Drug Enforcement Administration.</w:t>
      </w:r>
    </w:p>
    <w:p w14:paraId="3F58036D" w14:textId="77777777" w:rsidR="00203347" w:rsidRPr="00203347" w:rsidRDefault="00203347" w:rsidP="00203347">
      <w:pPr>
        <w:spacing w:before="0" w:after="0" w:line="259" w:lineRule="auto"/>
        <w:ind w:right="2482"/>
        <w:jc w:val="right"/>
        <w:rPr>
          <w:rFonts w:ascii="Calibri" w:eastAsia="Calibri" w:hAnsi="Calibri" w:cs="Calibri"/>
          <w:color w:val="000000"/>
          <w:kern w:val="2"/>
          <w:sz w:val="22"/>
          <w:lang w:eastAsia="en-US"/>
          <w14:ligatures w14:val="standardContextual"/>
        </w:rPr>
      </w:pPr>
      <w:r w:rsidRPr="00203347">
        <w:rPr>
          <w:rFonts w:ascii="Calibri" w:eastAsia="Calibri" w:hAnsi="Calibri" w:cs="Calibri"/>
          <w:noProof/>
          <w:color w:val="000000"/>
          <w:kern w:val="2"/>
          <w:sz w:val="22"/>
          <w:lang w:eastAsia="en-US"/>
          <w14:ligatures w14:val="standardContextual"/>
        </w:rPr>
        <mc:AlternateContent>
          <mc:Choice Requires="wpg">
            <w:drawing>
              <wp:anchor distT="0" distB="0" distL="114300" distR="114300" simplePos="0" relativeHeight="251683840" behindDoc="0" locked="0" layoutInCell="1" allowOverlap="1" wp14:anchorId="46C56C2C" wp14:editId="178CBE00">
                <wp:simplePos x="0" y="0"/>
                <wp:positionH relativeFrom="page">
                  <wp:posOffset>45155</wp:posOffset>
                </wp:positionH>
                <wp:positionV relativeFrom="page">
                  <wp:posOffset>101600</wp:posOffset>
                </wp:positionV>
                <wp:extent cx="7772400" cy="736346"/>
                <wp:effectExtent l="95250" t="57150" r="0" b="6985"/>
                <wp:wrapTopAndBottom/>
                <wp:docPr id="5781" name="Group 5781"/>
                <wp:cNvGraphicFramePr/>
                <a:graphic xmlns:a="http://schemas.openxmlformats.org/drawingml/2006/main">
                  <a:graphicData uri="http://schemas.microsoft.com/office/word/2010/wordprocessingGroup">
                    <wpg:wgp>
                      <wpg:cNvGrpSpPr/>
                      <wpg:grpSpPr>
                        <a:xfrm>
                          <a:off x="0" y="0"/>
                          <a:ext cx="7772400" cy="736346"/>
                          <a:chOff x="0" y="0"/>
                          <a:chExt cx="7772400" cy="736346"/>
                        </a:xfrm>
                        <a:solidFill>
                          <a:schemeClr val="accent1">
                            <a:lumMod val="40000"/>
                            <a:lumOff val="60000"/>
                          </a:schemeClr>
                        </a:solidFill>
                      </wpg:grpSpPr>
                      <wps:wsp>
                        <wps:cNvPr id="6078" name="Shape 6078"/>
                        <wps:cNvSpPr/>
                        <wps:spPr>
                          <a:xfrm>
                            <a:off x="0" y="0"/>
                            <a:ext cx="7772400" cy="736346"/>
                          </a:xfrm>
                          <a:custGeom>
                            <a:avLst/>
                            <a:gdLst/>
                            <a:ahLst/>
                            <a:cxnLst/>
                            <a:rect l="0" t="0" r="0" b="0"/>
                            <a:pathLst>
                              <a:path w="7772400" h="736346">
                                <a:moveTo>
                                  <a:pt x="0" y="0"/>
                                </a:moveTo>
                                <a:lnTo>
                                  <a:pt x="7772400" y="0"/>
                                </a:lnTo>
                                <a:lnTo>
                                  <a:pt x="7772400" y="736346"/>
                                </a:lnTo>
                                <a:lnTo>
                                  <a:pt x="0" y="736346"/>
                                </a:lnTo>
                                <a:lnTo>
                                  <a:pt x="0" y="0"/>
                                </a:lnTo>
                              </a:path>
                            </a:pathLst>
                          </a:custGeom>
                          <a:grpFill/>
                          <a:ln w="0" cap="flat">
                            <a:noFill/>
                            <a:miter lim="127000"/>
                          </a:ln>
                          <a:effectLst/>
                        </wps:spPr>
                        <wps:bodyPr/>
                      </wps:wsp>
                    </wpg:wgp>
                  </a:graphicData>
                </a:graphic>
              </wp:anchor>
            </w:drawing>
          </mc:Choice>
          <mc:Fallback>
            <w:pict>
              <v:group w14:anchorId="5B888D63" id="Group 5781" o:spid="_x0000_s1026" style="position:absolute;margin-left:3.55pt;margin-top:8pt;width:612pt;height:58pt;z-index:251683840;mso-position-horizontal-relative:page;mso-position-vertical-relative:page" coordsize="77724,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">
                <v:shape id="Shape 6078" o:spid="_x0000_s1027" style="position:absolute;width:77724;height:7363;visibility:visible;mso-wrap-style:square;v-text-anchor:top" coordsize="7772400,73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" path="m,l7772400,r,736346l,736346,,e" filled="f" stroked="f" strokeweight="0">
                  <v:stroke miterlimit="83231f" joinstyle="miter"/>
                  <v:path arrowok="t" textboxrect="0,0,7772400,736346"/>
                </v:shape>
                <w10:wrap type="topAndBottom" anchorx="page" anchory="page"/>
              </v:group>
            </w:pict>
          </mc:Fallback>
        </mc:AlternateContent>
      </w:r>
      <w:r w:rsidRPr="00203347">
        <w:rPr>
          <w:rFonts w:ascii="Arial" w:eastAsia="Arial" w:hAnsi="Arial" w:cs="Arial"/>
          <w:b/>
          <w:color w:val="006F6B"/>
          <w:kern w:val="2"/>
          <w:sz w:val="30"/>
          <w:lang w:eastAsia="en-US"/>
          <w14:ligatures w14:val="standardContextual"/>
        </w:rPr>
        <w:t xml:space="preserve">FEDERAL TRAFFICKING PENALTIES </w:t>
      </w:r>
    </w:p>
    <w:tbl>
      <w:tblPr>
        <w:tblStyle w:val="TableGrid0"/>
        <w:tblW w:w="10013" w:type="dxa"/>
        <w:tblInd w:w="10" w:type="dxa"/>
        <w:tblCellMar>
          <w:top w:w="16" w:type="dxa"/>
          <w:left w:w="149" w:type="dxa"/>
          <w:right w:w="51" w:type="dxa"/>
        </w:tblCellMar>
        <w:tblLook w:val="04A0" w:firstRow="1" w:lastRow="0" w:firstColumn="1" w:lastColumn="0" w:noHBand="0" w:noVBand="1"/>
      </w:tblPr>
      <w:tblGrid>
        <w:gridCol w:w="2146"/>
        <w:gridCol w:w="2030"/>
        <w:gridCol w:w="1685"/>
        <w:gridCol w:w="1742"/>
        <w:gridCol w:w="2410"/>
      </w:tblGrid>
      <w:tr w:rsidR="00203347" w:rsidRPr="00203347" w14:paraId="13D176A1" w14:textId="77777777" w:rsidTr="009F4130">
        <w:trPr>
          <w:trHeight w:val="514"/>
        </w:trPr>
        <w:tc>
          <w:tcPr>
            <w:tcW w:w="2146" w:type="dxa"/>
            <w:tcBorders>
              <w:top w:val="nil"/>
              <w:left w:val="single" w:sz="8" w:space="0" w:color="FFFFFF"/>
              <w:bottom w:val="single" w:sz="8" w:space="0" w:color="FFFFFF"/>
              <w:right w:val="single" w:sz="8" w:space="0" w:color="FFFFFF"/>
            </w:tcBorders>
            <w:shd w:val="clear" w:color="auto" w:fill="CCCABB"/>
            <w:vAlign w:val="center"/>
          </w:tcPr>
          <w:p w14:paraId="2E884025" w14:textId="77777777" w:rsidR="00203347" w:rsidRPr="00203347" w:rsidRDefault="00203347" w:rsidP="00203347">
            <w:pPr>
              <w:spacing w:line="259" w:lineRule="auto"/>
              <w:ind w:left="141"/>
              <w:jc w:val="center"/>
              <w:rPr>
                <w:rFonts w:ascii="Calibri" w:eastAsia="Calibri" w:hAnsi="Calibri" w:cs="Calibri"/>
                <w:color w:val="000000"/>
                <w:sz w:val="22"/>
              </w:rPr>
            </w:pPr>
            <w:r w:rsidRPr="00203347">
              <w:rPr>
                <w:rFonts w:ascii="Arial" w:eastAsia="Arial" w:hAnsi="Arial" w:cs="Arial"/>
                <w:color w:val="000000"/>
                <w:sz w:val="18"/>
              </w:rPr>
              <w:t>DRUG/SCHEDULE</w:t>
            </w:r>
          </w:p>
        </w:tc>
        <w:tc>
          <w:tcPr>
            <w:tcW w:w="2030" w:type="dxa"/>
            <w:tcBorders>
              <w:top w:val="nil"/>
              <w:left w:val="single" w:sz="8" w:space="0" w:color="FFFFFF"/>
              <w:bottom w:val="single" w:sz="8" w:space="0" w:color="FFFFFF"/>
              <w:right w:val="single" w:sz="8" w:space="0" w:color="FFFFFF"/>
            </w:tcBorders>
            <w:shd w:val="clear" w:color="auto" w:fill="CCCABB"/>
            <w:vAlign w:val="center"/>
          </w:tcPr>
          <w:p w14:paraId="3C119339" w14:textId="77777777" w:rsidR="00203347" w:rsidRPr="00203347" w:rsidRDefault="00203347" w:rsidP="00203347">
            <w:pPr>
              <w:spacing w:line="259" w:lineRule="auto"/>
              <w:ind w:right="94"/>
              <w:jc w:val="center"/>
              <w:rPr>
                <w:rFonts w:ascii="Calibri" w:eastAsia="Calibri" w:hAnsi="Calibri" w:cs="Calibri"/>
                <w:color w:val="000000"/>
                <w:sz w:val="22"/>
              </w:rPr>
            </w:pPr>
            <w:r w:rsidRPr="00203347">
              <w:rPr>
                <w:rFonts w:ascii="Arial" w:eastAsia="Arial" w:hAnsi="Arial" w:cs="Arial"/>
                <w:color w:val="000000"/>
                <w:sz w:val="18"/>
              </w:rPr>
              <w:t>QUANTITY</w:t>
            </w:r>
          </w:p>
        </w:tc>
        <w:tc>
          <w:tcPr>
            <w:tcW w:w="1685" w:type="dxa"/>
            <w:tcBorders>
              <w:top w:val="nil"/>
              <w:left w:val="single" w:sz="8" w:space="0" w:color="FFFFFF"/>
              <w:bottom w:val="single" w:sz="8" w:space="0" w:color="FFFFFF"/>
              <w:right w:val="single" w:sz="8" w:space="0" w:color="FFFFFF"/>
            </w:tcBorders>
            <w:shd w:val="clear" w:color="auto" w:fill="CCCABB"/>
            <w:vAlign w:val="center"/>
          </w:tcPr>
          <w:p w14:paraId="0949CC00" w14:textId="77777777" w:rsidR="00203347" w:rsidRPr="00203347" w:rsidRDefault="00203347" w:rsidP="00203347">
            <w:pPr>
              <w:spacing w:line="259" w:lineRule="auto"/>
              <w:ind w:right="97"/>
              <w:jc w:val="center"/>
              <w:rPr>
                <w:rFonts w:ascii="Calibri" w:eastAsia="Calibri" w:hAnsi="Calibri" w:cs="Calibri"/>
                <w:color w:val="000000"/>
                <w:sz w:val="22"/>
              </w:rPr>
            </w:pPr>
            <w:r w:rsidRPr="00203347">
              <w:rPr>
                <w:rFonts w:ascii="Arial" w:eastAsia="Arial" w:hAnsi="Arial" w:cs="Arial"/>
                <w:color w:val="000000"/>
                <w:sz w:val="18"/>
              </w:rPr>
              <w:t>PENALTIES</w:t>
            </w:r>
          </w:p>
        </w:tc>
        <w:tc>
          <w:tcPr>
            <w:tcW w:w="1742" w:type="dxa"/>
            <w:tcBorders>
              <w:top w:val="nil"/>
              <w:left w:val="single" w:sz="8" w:space="0" w:color="FFFFFF"/>
              <w:bottom w:val="single" w:sz="8" w:space="0" w:color="FFFFFF"/>
              <w:right w:val="single" w:sz="8" w:space="0" w:color="FFFFFF"/>
            </w:tcBorders>
            <w:shd w:val="clear" w:color="auto" w:fill="CCCABB"/>
            <w:vAlign w:val="center"/>
          </w:tcPr>
          <w:p w14:paraId="6F23CAC1" w14:textId="77777777" w:rsidR="00203347" w:rsidRPr="00203347" w:rsidRDefault="00203347" w:rsidP="00203347">
            <w:pPr>
              <w:spacing w:line="259" w:lineRule="auto"/>
              <w:ind w:right="94"/>
              <w:jc w:val="center"/>
              <w:rPr>
                <w:rFonts w:ascii="Calibri" w:eastAsia="Calibri" w:hAnsi="Calibri" w:cs="Calibri"/>
                <w:color w:val="000000"/>
                <w:sz w:val="22"/>
              </w:rPr>
            </w:pPr>
            <w:r w:rsidRPr="00203347">
              <w:rPr>
                <w:rFonts w:ascii="Arial" w:eastAsia="Arial" w:hAnsi="Arial" w:cs="Arial"/>
                <w:color w:val="000000"/>
                <w:sz w:val="18"/>
              </w:rPr>
              <w:t>QUANTITY</w:t>
            </w:r>
          </w:p>
        </w:tc>
        <w:tc>
          <w:tcPr>
            <w:tcW w:w="2409" w:type="dxa"/>
            <w:tcBorders>
              <w:top w:val="nil"/>
              <w:left w:val="single" w:sz="8" w:space="0" w:color="FFFFFF"/>
              <w:bottom w:val="single" w:sz="8" w:space="0" w:color="FFFFFF"/>
              <w:right w:val="single" w:sz="8" w:space="0" w:color="FFFFFF"/>
            </w:tcBorders>
            <w:shd w:val="clear" w:color="auto" w:fill="CCCABB"/>
            <w:vAlign w:val="center"/>
          </w:tcPr>
          <w:p w14:paraId="4B263524" w14:textId="77777777" w:rsidR="00203347" w:rsidRPr="00203347" w:rsidRDefault="00203347" w:rsidP="00203347">
            <w:pPr>
              <w:spacing w:line="259" w:lineRule="auto"/>
              <w:ind w:right="97"/>
              <w:jc w:val="center"/>
              <w:rPr>
                <w:rFonts w:ascii="Calibri" w:eastAsia="Calibri" w:hAnsi="Calibri" w:cs="Calibri"/>
                <w:color w:val="000000"/>
                <w:sz w:val="22"/>
              </w:rPr>
            </w:pPr>
            <w:r w:rsidRPr="00203347">
              <w:rPr>
                <w:rFonts w:ascii="Arial" w:eastAsia="Arial" w:hAnsi="Arial" w:cs="Arial"/>
                <w:color w:val="000000"/>
                <w:sz w:val="18"/>
              </w:rPr>
              <w:t xml:space="preserve">PENALTIES </w:t>
            </w:r>
          </w:p>
        </w:tc>
      </w:tr>
      <w:tr w:rsidR="00203347" w:rsidRPr="00203347" w14:paraId="723048CD" w14:textId="77777777" w:rsidTr="009F4130">
        <w:trPr>
          <w:trHeight w:val="275"/>
        </w:trPr>
        <w:tc>
          <w:tcPr>
            <w:tcW w:w="2146" w:type="dxa"/>
            <w:tcBorders>
              <w:top w:val="single" w:sz="8" w:space="0" w:color="FFFFFF"/>
              <w:left w:val="single" w:sz="8" w:space="0" w:color="FFFFFF"/>
              <w:bottom w:val="single" w:sz="8" w:space="0" w:color="FFFFFF"/>
              <w:right w:val="single" w:sz="8" w:space="0" w:color="FFFFFF"/>
            </w:tcBorders>
            <w:shd w:val="clear" w:color="auto" w:fill="EEF7F8"/>
          </w:tcPr>
          <w:p w14:paraId="65C0BC14" w14:textId="77777777" w:rsidR="00203347" w:rsidRPr="00203347" w:rsidRDefault="00203347" w:rsidP="00203347">
            <w:pPr>
              <w:spacing w:line="259" w:lineRule="auto"/>
              <w:ind w:left="1"/>
              <w:rPr>
                <w:rFonts w:ascii="Calibri" w:eastAsia="Calibri" w:hAnsi="Calibri" w:cs="Calibri"/>
                <w:color w:val="000000"/>
                <w:sz w:val="22"/>
              </w:rPr>
            </w:pPr>
            <w:r w:rsidRPr="00203347">
              <w:rPr>
                <w:rFonts w:ascii="Tahoma" w:eastAsia="Tahoma" w:hAnsi="Tahoma" w:cs="Tahoma"/>
                <w:color w:val="000000"/>
                <w:sz w:val="15"/>
              </w:rPr>
              <w:t>Cocaine (Schedule II)</w:t>
            </w:r>
          </w:p>
        </w:tc>
        <w:tc>
          <w:tcPr>
            <w:tcW w:w="2030" w:type="dxa"/>
            <w:tcBorders>
              <w:top w:val="single" w:sz="8" w:space="0" w:color="FFFFFF"/>
              <w:left w:val="single" w:sz="8" w:space="0" w:color="FFFFFF"/>
              <w:bottom w:val="single" w:sz="8" w:space="0" w:color="FFFFFF"/>
              <w:right w:val="single" w:sz="8" w:space="0" w:color="FFFFFF"/>
            </w:tcBorders>
            <w:shd w:val="clear" w:color="auto" w:fill="EEF7F8"/>
          </w:tcPr>
          <w:p w14:paraId="2DFC30F2" w14:textId="77777777" w:rsidR="00203347" w:rsidRPr="00203347" w:rsidRDefault="00203347" w:rsidP="00203347">
            <w:pPr>
              <w:spacing w:line="259" w:lineRule="auto"/>
              <w:ind w:right="174"/>
              <w:jc w:val="center"/>
              <w:rPr>
                <w:rFonts w:ascii="Calibri" w:eastAsia="Calibri" w:hAnsi="Calibri" w:cs="Calibri"/>
                <w:color w:val="000000"/>
                <w:sz w:val="22"/>
              </w:rPr>
            </w:pPr>
            <w:r w:rsidRPr="00203347">
              <w:rPr>
                <w:rFonts w:ascii="Tahoma" w:eastAsia="Tahoma" w:hAnsi="Tahoma" w:cs="Tahoma"/>
                <w:color w:val="000000"/>
                <w:sz w:val="15"/>
              </w:rPr>
              <w:t xml:space="preserve">500–4999 grams mixture </w:t>
            </w:r>
          </w:p>
        </w:tc>
        <w:tc>
          <w:tcPr>
            <w:tcW w:w="1685" w:type="dxa"/>
            <w:vMerge w:val="restart"/>
            <w:tcBorders>
              <w:top w:val="single" w:sz="8" w:space="0" w:color="FFFFFF"/>
              <w:left w:val="single" w:sz="8" w:space="0" w:color="FFFFFF"/>
              <w:bottom w:val="single" w:sz="8" w:space="0" w:color="FFFFFF"/>
              <w:right w:val="single" w:sz="8" w:space="0" w:color="FFFFFF"/>
            </w:tcBorders>
            <w:shd w:val="clear" w:color="auto" w:fill="EEF7F8"/>
          </w:tcPr>
          <w:p w14:paraId="3EEE7A0C" w14:textId="77777777" w:rsidR="00203347" w:rsidRPr="00203347" w:rsidRDefault="00203347" w:rsidP="00203347">
            <w:pPr>
              <w:spacing w:line="259" w:lineRule="auto"/>
              <w:rPr>
                <w:rFonts w:ascii="Calibri" w:eastAsia="Calibri" w:hAnsi="Calibri" w:cs="Calibri"/>
                <w:color w:val="000000"/>
                <w:sz w:val="22"/>
              </w:rPr>
            </w:pPr>
            <w:r w:rsidRPr="00203347">
              <w:rPr>
                <w:rFonts w:ascii="Arial" w:eastAsia="Arial" w:hAnsi="Arial" w:cs="Arial"/>
                <w:b/>
                <w:color w:val="000000"/>
                <w:sz w:val="16"/>
              </w:rPr>
              <w:t xml:space="preserve">First Offense: </w:t>
            </w:r>
          </w:p>
          <w:p w14:paraId="5DCCF8CC" w14:textId="71919290" w:rsidR="00203347" w:rsidRPr="00203347" w:rsidRDefault="00203347" w:rsidP="00203347">
            <w:pPr>
              <w:spacing w:after="91" w:line="237" w:lineRule="auto"/>
              <w:ind w:left="1" w:right="35"/>
              <w:rPr>
                <w:rFonts w:ascii="Calibri" w:eastAsia="Calibri" w:hAnsi="Calibri" w:cs="Calibri"/>
                <w:color w:val="000000"/>
                <w:sz w:val="22"/>
              </w:rPr>
            </w:pPr>
            <w:r w:rsidRPr="00203347">
              <w:rPr>
                <w:rFonts w:ascii="Tahoma" w:eastAsia="Tahoma" w:hAnsi="Tahoma" w:cs="Tahoma"/>
                <w:color w:val="000000"/>
                <w:sz w:val="15"/>
              </w:rPr>
              <w:t xml:space="preserve">Not less than 5 </w:t>
            </w:r>
            <w:r w:rsidR="00F81050" w:rsidRPr="00203347">
              <w:rPr>
                <w:rFonts w:ascii="Tahoma" w:eastAsia="Tahoma" w:hAnsi="Tahoma" w:cs="Tahoma"/>
                <w:color w:val="000000"/>
                <w:sz w:val="15"/>
              </w:rPr>
              <w:t>yrs.</w:t>
            </w:r>
            <w:r w:rsidRPr="00203347">
              <w:rPr>
                <w:rFonts w:ascii="Tahoma" w:eastAsia="Tahoma" w:hAnsi="Tahoma" w:cs="Tahoma"/>
                <w:color w:val="000000"/>
                <w:sz w:val="15"/>
              </w:rPr>
              <w:t xml:space="preserve">, and not more than 40 yrs. If death or serious injury, not less than 20 or more than life. Fine of not more than $5 million if an individual, $25 million if not an individual. </w:t>
            </w:r>
          </w:p>
          <w:p w14:paraId="1B718D2B" w14:textId="77777777" w:rsidR="00203347" w:rsidRPr="00203347" w:rsidRDefault="00203347" w:rsidP="00203347">
            <w:pPr>
              <w:spacing w:line="259" w:lineRule="auto"/>
              <w:rPr>
                <w:rFonts w:ascii="Calibri" w:eastAsia="Calibri" w:hAnsi="Calibri" w:cs="Calibri"/>
                <w:color w:val="000000"/>
                <w:sz w:val="22"/>
              </w:rPr>
            </w:pPr>
            <w:r w:rsidRPr="00203347">
              <w:rPr>
                <w:rFonts w:ascii="Arial" w:eastAsia="Arial" w:hAnsi="Arial" w:cs="Arial"/>
                <w:b/>
                <w:color w:val="000000"/>
                <w:sz w:val="16"/>
              </w:rPr>
              <w:t xml:space="preserve">Second Offense: </w:t>
            </w:r>
          </w:p>
          <w:p w14:paraId="6E41630A" w14:textId="4A0646B8" w:rsidR="00203347" w:rsidRPr="00203347" w:rsidRDefault="00203347" w:rsidP="00203347">
            <w:pPr>
              <w:spacing w:after="24" w:line="237" w:lineRule="auto"/>
              <w:ind w:right="117"/>
              <w:rPr>
                <w:rFonts w:ascii="Calibri" w:eastAsia="Calibri" w:hAnsi="Calibri" w:cs="Calibri"/>
                <w:color w:val="000000"/>
                <w:sz w:val="22"/>
              </w:rPr>
            </w:pPr>
            <w:r w:rsidRPr="00203347">
              <w:rPr>
                <w:rFonts w:ascii="Tahoma" w:eastAsia="Tahoma" w:hAnsi="Tahoma" w:cs="Tahoma"/>
                <w:color w:val="000000"/>
                <w:sz w:val="15"/>
              </w:rPr>
              <w:t xml:space="preserve">Not less than 10 </w:t>
            </w:r>
            <w:r w:rsidR="00F81050" w:rsidRPr="00203347">
              <w:rPr>
                <w:rFonts w:ascii="Tahoma" w:eastAsia="Tahoma" w:hAnsi="Tahoma" w:cs="Tahoma"/>
                <w:color w:val="000000"/>
                <w:sz w:val="15"/>
              </w:rPr>
              <w:t>yrs.</w:t>
            </w:r>
            <w:r w:rsidRPr="00203347">
              <w:rPr>
                <w:rFonts w:ascii="Tahoma" w:eastAsia="Tahoma" w:hAnsi="Tahoma" w:cs="Tahoma"/>
                <w:color w:val="000000"/>
                <w:sz w:val="15"/>
              </w:rPr>
              <w:t xml:space="preserve">, and not more than life. If death or serious injury, life imprisonment. </w:t>
            </w:r>
          </w:p>
          <w:p w14:paraId="5D816E38" w14:textId="77777777" w:rsidR="00203347" w:rsidRPr="00203347" w:rsidRDefault="00203347" w:rsidP="00203347">
            <w:pPr>
              <w:spacing w:line="259" w:lineRule="auto"/>
              <w:ind w:right="41"/>
              <w:rPr>
                <w:rFonts w:ascii="Calibri" w:eastAsia="Calibri" w:hAnsi="Calibri" w:cs="Calibri"/>
                <w:color w:val="000000"/>
                <w:sz w:val="22"/>
              </w:rPr>
            </w:pPr>
            <w:r w:rsidRPr="00203347">
              <w:rPr>
                <w:rFonts w:ascii="Tahoma" w:eastAsia="Tahoma" w:hAnsi="Tahoma" w:cs="Tahoma"/>
                <w:color w:val="000000"/>
                <w:sz w:val="15"/>
              </w:rPr>
              <w:t xml:space="preserve">Fine of not more than $8 million if an individual, $50 million if not an individual. </w:t>
            </w:r>
          </w:p>
        </w:tc>
        <w:tc>
          <w:tcPr>
            <w:tcW w:w="1742" w:type="dxa"/>
            <w:tcBorders>
              <w:top w:val="single" w:sz="8" w:space="0" w:color="FFFFFF"/>
              <w:left w:val="single" w:sz="8" w:space="0" w:color="FFFFFF"/>
              <w:bottom w:val="single" w:sz="8" w:space="0" w:color="FFFFFF"/>
              <w:right w:val="single" w:sz="8" w:space="0" w:color="FFFFFF"/>
            </w:tcBorders>
            <w:shd w:val="clear" w:color="auto" w:fill="EEF7F8"/>
          </w:tcPr>
          <w:p w14:paraId="496E3049" w14:textId="77777777" w:rsidR="00203347" w:rsidRPr="00203347" w:rsidRDefault="00203347" w:rsidP="00203347">
            <w:pPr>
              <w:spacing w:line="259" w:lineRule="auto"/>
              <w:ind w:right="72"/>
              <w:jc w:val="center"/>
              <w:rPr>
                <w:rFonts w:ascii="Calibri" w:eastAsia="Calibri" w:hAnsi="Calibri" w:cs="Calibri"/>
                <w:color w:val="000000"/>
                <w:sz w:val="22"/>
              </w:rPr>
            </w:pPr>
            <w:r w:rsidRPr="00203347">
              <w:rPr>
                <w:rFonts w:ascii="Tahoma" w:eastAsia="Tahoma" w:hAnsi="Tahoma" w:cs="Tahoma"/>
                <w:color w:val="000000"/>
                <w:sz w:val="15"/>
              </w:rPr>
              <w:t xml:space="preserve">5 kgs or more mixture </w:t>
            </w:r>
          </w:p>
        </w:tc>
        <w:tc>
          <w:tcPr>
            <w:tcW w:w="2409" w:type="dxa"/>
            <w:vMerge w:val="restart"/>
            <w:tcBorders>
              <w:top w:val="single" w:sz="8" w:space="0" w:color="FFFFFF"/>
              <w:left w:val="single" w:sz="8" w:space="0" w:color="FFFFFF"/>
              <w:bottom w:val="single" w:sz="8" w:space="0" w:color="FFFFFF"/>
              <w:right w:val="single" w:sz="8" w:space="0" w:color="FFFFFF"/>
            </w:tcBorders>
            <w:shd w:val="clear" w:color="auto" w:fill="EEF7F8"/>
          </w:tcPr>
          <w:p w14:paraId="233F4779" w14:textId="2911B5EC" w:rsidR="00203347" w:rsidRPr="00203347" w:rsidRDefault="00203347" w:rsidP="00203347">
            <w:pPr>
              <w:spacing w:after="91" w:line="237" w:lineRule="auto"/>
              <w:ind w:left="1" w:right="45" w:hanging="1"/>
              <w:rPr>
                <w:rFonts w:ascii="Calibri" w:eastAsia="Calibri" w:hAnsi="Calibri" w:cs="Calibri"/>
                <w:color w:val="000000"/>
                <w:sz w:val="22"/>
              </w:rPr>
            </w:pPr>
            <w:r w:rsidRPr="00203347">
              <w:rPr>
                <w:rFonts w:ascii="Arial" w:eastAsia="Arial" w:hAnsi="Arial" w:cs="Arial"/>
                <w:b/>
                <w:color w:val="000000"/>
                <w:sz w:val="16"/>
              </w:rPr>
              <w:t xml:space="preserve">First Offense: </w:t>
            </w:r>
            <w:r w:rsidRPr="00203347">
              <w:rPr>
                <w:rFonts w:ascii="Tahoma" w:eastAsia="Tahoma" w:hAnsi="Tahoma" w:cs="Tahoma"/>
                <w:color w:val="000000"/>
                <w:sz w:val="15"/>
              </w:rPr>
              <w:t xml:space="preserve">Not less than 10 </w:t>
            </w:r>
            <w:r w:rsidR="00F81050" w:rsidRPr="00203347">
              <w:rPr>
                <w:rFonts w:ascii="Tahoma" w:eastAsia="Tahoma" w:hAnsi="Tahoma" w:cs="Tahoma"/>
                <w:color w:val="000000"/>
                <w:sz w:val="15"/>
              </w:rPr>
              <w:t>yrs.</w:t>
            </w:r>
            <w:r w:rsidRPr="00203347">
              <w:rPr>
                <w:rFonts w:ascii="Tahoma" w:eastAsia="Tahoma" w:hAnsi="Tahoma" w:cs="Tahoma"/>
                <w:color w:val="000000"/>
                <w:sz w:val="15"/>
              </w:rPr>
              <w:t xml:space="preserve">, and not more than life. If death or serious injury, not less than 20 or more than life. Fine of not more than $10 million if an individual, $50 million if not an individual. </w:t>
            </w:r>
          </w:p>
          <w:p w14:paraId="4DA5B676" w14:textId="41D2476F" w:rsidR="00203347" w:rsidRPr="00203347" w:rsidRDefault="00203347" w:rsidP="00203347">
            <w:pPr>
              <w:spacing w:after="24" w:line="237" w:lineRule="auto"/>
              <w:ind w:right="24"/>
              <w:rPr>
                <w:rFonts w:ascii="Calibri" w:eastAsia="Calibri" w:hAnsi="Calibri" w:cs="Calibri"/>
                <w:color w:val="000000"/>
                <w:sz w:val="22"/>
              </w:rPr>
            </w:pPr>
            <w:r w:rsidRPr="00203347">
              <w:rPr>
                <w:rFonts w:ascii="Arial" w:eastAsia="Arial" w:hAnsi="Arial" w:cs="Arial"/>
                <w:b/>
                <w:color w:val="000000"/>
                <w:sz w:val="16"/>
              </w:rPr>
              <w:t xml:space="preserve">Second Offense: </w:t>
            </w:r>
            <w:r w:rsidRPr="00203347">
              <w:rPr>
                <w:rFonts w:ascii="Tahoma" w:eastAsia="Tahoma" w:hAnsi="Tahoma" w:cs="Tahoma"/>
                <w:color w:val="000000"/>
                <w:sz w:val="15"/>
              </w:rPr>
              <w:t xml:space="preserve">Not less than 15 </w:t>
            </w:r>
            <w:r w:rsidR="00F81050" w:rsidRPr="00203347">
              <w:rPr>
                <w:rFonts w:ascii="Tahoma" w:eastAsia="Tahoma" w:hAnsi="Tahoma" w:cs="Tahoma"/>
                <w:color w:val="000000"/>
                <w:sz w:val="15"/>
              </w:rPr>
              <w:t>yrs.</w:t>
            </w:r>
            <w:r w:rsidRPr="00203347">
              <w:rPr>
                <w:rFonts w:ascii="Tahoma" w:eastAsia="Tahoma" w:hAnsi="Tahoma" w:cs="Tahoma"/>
                <w:color w:val="000000"/>
                <w:sz w:val="15"/>
              </w:rPr>
              <w:t xml:space="preserve">, and not more than life. If death or serious injury, life imprisonment. </w:t>
            </w:r>
          </w:p>
          <w:p w14:paraId="6955ADF9" w14:textId="77777777" w:rsidR="00203347" w:rsidRPr="00203347" w:rsidRDefault="00203347" w:rsidP="00203347">
            <w:pPr>
              <w:spacing w:after="80" w:line="237" w:lineRule="auto"/>
              <w:rPr>
                <w:rFonts w:ascii="Calibri" w:eastAsia="Calibri" w:hAnsi="Calibri" w:cs="Calibri"/>
                <w:color w:val="000000"/>
                <w:sz w:val="22"/>
              </w:rPr>
            </w:pPr>
            <w:r w:rsidRPr="00203347">
              <w:rPr>
                <w:rFonts w:ascii="Tahoma" w:eastAsia="Tahoma" w:hAnsi="Tahoma" w:cs="Tahoma"/>
                <w:color w:val="000000"/>
                <w:sz w:val="15"/>
              </w:rPr>
              <w:t xml:space="preserve">Fine of not more than $20 million if an individual, $75 million if not an individual. </w:t>
            </w:r>
          </w:p>
          <w:p w14:paraId="170012E2" w14:textId="77777777" w:rsidR="00203347" w:rsidRPr="00203347" w:rsidRDefault="00203347" w:rsidP="00203347">
            <w:pPr>
              <w:spacing w:after="10" w:line="227" w:lineRule="auto"/>
              <w:ind w:left="1" w:right="345"/>
              <w:rPr>
                <w:rFonts w:ascii="Calibri" w:eastAsia="Calibri" w:hAnsi="Calibri" w:cs="Calibri"/>
                <w:color w:val="000000"/>
                <w:sz w:val="22"/>
              </w:rPr>
            </w:pPr>
            <w:r w:rsidRPr="00203347">
              <w:rPr>
                <w:rFonts w:ascii="Arial" w:eastAsia="Arial" w:hAnsi="Arial" w:cs="Arial"/>
                <w:b/>
                <w:color w:val="000000"/>
                <w:sz w:val="16"/>
              </w:rPr>
              <w:t xml:space="preserve">2 or More Prior Offenses: </w:t>
            </w:r>
          </w:p>
          <w:p w14:paraId="78E13161" w14:textId="77777777" w:rsidR="00203347" w:rsidRPr="00203347" w:rsidRDefault="00203347" w:rsidP="00203347">
            <w:pPr>
              <w:spacing w:line="259" w:lineRule="auto"/>
              <w:ind w:left="1"/>
              <w:rPr>
                <w:rFonts w:ascii="Calibri" w:eastAsia="Calibri" w:hAnsi="Calibri" w:cs="Calibri"/>
                <w:color w:val="000000"/>
                <w:sz w:val="22"/>
              </w:rPr>
            </w:pPr>
            <w:r w:rsidRPr="00203347">
              <w:rPr>
                <w:rFonts w:ascii="Tahoma" w:eastAsia="Tahoma" w:hAnsi="Tahoma" w:cs="Tahoma"/>
                <w:color w:val="000000"/>
                <w:sz w:val="15"/>
              </w:rPr>
              <w:t xml:space="preserve">Not less than 25 years. Fine of not more than $20 million if an individual, $75 million if not an individual. </w:t>
            </w:r>
          </w:p>
        </w:tc>
      </w:tr>
      <w:tr w:rsidR="00203347" w:rsidRPr="00203347" w14:paraId="5BC5A750" w14:textId="77777777" w:rsidTr="009F4130">
        <w:trPr>
          <w:trHeight w:val="455"/>
        </w:trPr>
        <w:tc>
          <w:tcPr>
            <w:tcW w:w="2146" w:type="dxa"/>
            <w:tcBorders>
              <w:top w:val="single" w:sz="8" w:space="0" w:color="FFFFFF"/>
              <w:left w:val="single" w:sz="8" w:space="0" w:color="FFFFFF"/>
              <w:bottom w:val="single" w:sz="8" w:space="0" w:color="FFFFFF"/>
              <w:right w:val="single" w:sz="8" w:space="0" w:color="FFFFFF"/>
            </w:tcBorders>
            <w:shd w:val="clear" w:color="auto" w:fill="EEF7F8"/>
          </w:tcPr>
          <w:p w14:paraId="4165D656" w14:textId="77777777" w:rsidR="00203347" w:rsidRPr="00203347" w:rsidRDefault="00203347" w:rsidP="00203347">
            <w:pPr>
              <w:spacing w:line="259" w:lineRule="auto"/>
              <w:ind w:right="151"/>
              <w:jc w:val="center"/>
              <w:rPr>
                <w:rFonts w:ascii="Calibri" w:eastAsia="Calibri" w:hAnsi="Calibri" w:cs="Calibri"/>
                <w:color w:val="000000"/>
                <w:sz w:val="22"/>
              </w:rPr>
            </w:pPr>
            <w:r w:rsidRPr="00203347">
              <w:rPr>
                <w:rFonts w:ascii="Tahoma" w:eastAsia="Tahoma" w:hAnsi="Tahoma" w:cs="Tahoma"/>
                <w:color w:val="000000"/>
                <w:sz w:val="15"/>
              </w:rPr>
              <w:t xml:space="preserve">Cocaine Base (Schedule II) </w:t>
            </w:r>
          </w:p>
        </w:tc>
        <w:tc>
          <w:tcPr>
            <w:tcW w:w="2030" w:type="dxa"/>
            <w:tcBorders>
              <w:top w:val="single" w:sz="8" w:space="0" w:color="FFFFFF"/>
              <w:left w:val="single" w:sz="8" w:space="0" w:color="FFFFFF"/>
              <w:bottom w:val="single" w:sz="8" w:space="0" w:color="FFFFFF"/>
              <w:right w:val="single" w:sz="8" w:space="0" w:color="FFFFFF"/>
            </w:tcBorders>
            <w:shd w:val="clear" w:color="auto" w:fill="EEF7F8"/>
          </w:tcPr>
          <w:p w14:paraId="7ADC7070" w14:textId="77777777" w:rsidR="00203347" w:rsidRPr="00203347" w:rsidRDefault="00203347" w:rsidP="00203347">
            <w:pPr>
              <w:spacing w:line="259" w:lineRule="auto"/>
              <w:ind w:left="1"/>
              <w:rPr>
                <w:rFonts w:ascii="Calibri" w:eastAsia="Calibri" w:hAnsi="Calibri" w:cs="Calibri"/>
                <w:color w:val="000000"/>
                <w:sz w:val="22"/>
              </w:rPr>
            </w:pPr>
            <w:r w:rsidRPr="00203347">
              <w:rPr>
                <w:rFonts w:ascii="Tahoma" w:eastAsia="Tahoma" w:hAnsi="Tahoma" w:cs="Tahoma"/>
                <w:color w:val="000000"/>
                <w:sz w:val="15"/>
              </w:rPr>
              <w:t>28–279 grams mixture</w:t>
            </w:r>
          </w:p>
        </w:tc>
        <w:tc>
          <w:tcPr>
            <w:tcW w:w="0" w:type="auto"/>
            <w:vMerge/>
            <w:tcBorders>
              <w:top w:val="nil"/>
              <w:left w:val="single" w:sz="8" w:space="0" w:color="FFFFFF"/>
              <w:bottom w:val="nil"/>
              <w:right w:val="single" w:sz="8" w:space="0" w:color="FFFFFF"/>
            </w:tcBorders>
          </w:tcPr>
          <w:p w14:paraId="75D278A9" w14:textId="77777777" w:rsidR="00203347" w:rsidRPr="00203347" w:rsidRDefault="00203347" w:rsidP="00203347">
            <w:pPr>
              <w:spacing w:line="259" w:lineRule="auto"/>
              <w:rPr>
                <w:rFonts w:ascii="Calibri" w:eastAsia="Calibri" w:hAnsi="Calibri" w:cs="Calibri"/>
                <w:color w:val="000000"/>
                <w:sz w:val="22"/>
              </w:rPr>
            </w:pPr>
          </w:p>
        </w:tc>
        <w:tc>
          <w:tcPr>
            <w:tcW w:w="1742" w:type="dxa"/>
            <w:tcBorders>
              <w:top w:val="single" w:sz="8" w:space="0" w:color="FFFFFF"/>
              <w:left w:val="single" w:sz="8" w:space="0" w:color="FFFFFF"/>
              <w:bottom w:val="single" w:sz="8" w:space="0" w:color="FFFFFF"/>
              <w:right w:val="single" w:sz="8" w:space="0" w:color="FFFFFF"/>
            </w:tcBorders>
            <w:shd w:val="clear" w:color="auto" w:fill="EEF7F8"/>
          </w:tcPr>
          <w:p w14:paraId="266BF4E4" w14:textId="77777777" w:rsidR="00203347" w:rsidRPr="00203347" w:rsidRDefault="00203347" w:rsidP="00203347">
            <w:pPr>
              <w:spacing w:line="259" w:lineRule="auto"/>
              <w:ind w:left="1"/>
              <w:rPr>
                <w:rFonts w:ascii="Calibri" w:eastAsia="Calibri" w:hAnsi="Calibri" w:cs="Calibri"/>
                <w:color w:val="000000"/>
                <w:sz w:val="22"/>
              </w:rPr>
            </w:pPr>
            <w:r w:rsidRPr="00203347">
              <w:rPr>
                <w:rFonts w:ascii="Tahoma" w:eastAsia="Tahoma" w:hAnsi="Tahoma" w:cs="Tahoma"/>
                <w:color w:val="000000"/>
                <w:sz w:val="15"/>
              </w:rPr>
              <w:t xml:space="preserve">280 grams or more mixture </w:t>
            </w:r>
          </w:p>
        </w:tc>
        <w:tc>
          <w:tcPr>
            <w:tcW w:w="0" w:type="auto"/>
            <w:vMerge/>
            <w:tcBorders>
              <w:top w:val="nil"/>
              <w:left w:val="single" w:sz="8" w:space="0" w:color="FFFFFF"/>
              <w:bottom w:val="nil"/>
              <w:right w:val="single" w:sz="8" w:space="0" w:color="FFFFFF"/>
            </w:tcBorders>
          </w:tcPr>
          <w:p w14:paraId="169E8E4C" w14:textId="77777777" w:rsidR="00203347" w:rsidRPr="00203347" w:rsidRDefault="00203347" w:rsidP="00203347">
            <w:pPr>
              <w:spacing w:line="259" w:lineRule="auto"/>
              <w:rPr>
                <w:rFonts w:ascii="Calibri" w:eastAsia="Calibri" w:hAnsi="Calibri" w:cs="Calibri"/>
                <w:color w:val="000000"/>
                <w:sz w:val="22"/>
              </w:rPr>
            </w:pPr>
          </w:p>
        </w:tc>
      </w:tr>
      <w:tr w:rsidR="00203347" w:rsidRPr="00203347" w14:paraId="2DF30381" w14:textId="77777777" w:rsidTr="009F4130">
        <w:trPr>
          <w:trHeight w:val="455"/>
        </w:trPr>
        <w:tc>
          <w:tcPr>
            <w:tcW w:w="2146" w:type="dxa"/>
            <w:tcBorders>
              <w:top w:val="single" w:sz="8" w:space="0" w:color="FFFFFF"/>
              <w:left w:val="single" w:sz="8" w:space="0" w:color="FFFFFF"/>
              <w:bottom w:val="single" w:sz="8" w:space="0" w:color="FFFFFF"/>
              <w:right w:val="single" w:sz="8" w:space="0" w:color="FFFFFF"/>
            </w:tcBorders>
            <w:shd w:val="clear" w:color="auto" w:fill="EEF7F8"/>
          </w:tcPr>
          <w:p w14:paraId="48B0A09F" w14:textId="77777777" w:rsidR="00203347" w:rsidRPr="00203347" w:rsidRDefault="00203347" w:rsidP="00203347">
            <w:pPr>
              <w:spacing w:line="259" w:lineRule="auto"/>
              <w:ind w:left="1"/>
              <w:rPr>
                <w:rFonts w:ascii="Calibri" w:eastAsia="Calibri" w:hAnsi="Calibri" w:cs="Calibri"/>
                <w:color w:val="000000"/>
                <w:sz w:val="22"/>
              </w:rPr>
            </w:pPr>
            <w:r w:rsidRPr="00203347">
              <w:rPr>
                <w:rFonts w:ascii="Tahoma" w:eastAsia="Tahoma" w:hAnsi="Tahoma" w:cs="Tahoma"/>
                <w:color w:val="000000"/>
                <w:sz w:val="15"/>
              </w:rPr>
              <w:t>Fentanyl (Schedule II)</w:t>
            </w:r>
          </w:p>
        </w:tc>
        <w:tc>
          <w:tcPr>
            <w:tcW w:w="2030" w:type="dxa"/>
            <w:tcBorders>
              <w:top w:val="single" w:sz="8" w:space="0" w:color="FFFFFF"/>
              <w:left w:val="single" w:sz="8" w:space="0" w:color="FFFFFF"/>
              <w:bottom w:val="single" w:sz="8" w:space="0" w:color="FFFFFF"/>
              <w:right w:val="single" w:sz="8" w:space="0" w:color="FFFFFF"/>
            </w:tcBorders>
            <w:shd w:val="clear" w:color="auto" w:fill="EEF7F8"/>
          </w:tcPr>
          <w:p w14:paraId="3B0ED791" w14:textId="77777777" w:rsidR="00203347" w:rsidRPr="00203347" w:rsidRDefault="00203347" w:rsidP="00203347">
            <w:pPr>
              <w:spacing w:line="259" w:lineRule="auto"/>
              <w:ind w:left="1"/>
              <w:rPr>
                <w:rFonts w:ascii="Calibri" w:eastAsia="Calibri" w:hAnsi="Calibri" w:cs="Calibri"/>
                <w:color w:val="000000"/>
                <w:sz w:val="22"/>
              </w:rPr>
            </w:pPr>
            <w:r w:rsidRPr="00203347">
              <w:rPr>
                <w:rFonts w:ascii="Tahoma" w:eastAsia="Tahoma" w:hAnsi="Tahoma" w:cs="Tahoma"/>
                <w:color w:val="000000"/>
                <w:sz w:val="15"/>
              </w:rPr>
              <w:t>40–399 grams mixture</w:t>
            </w:r>
          </w:p>
        </w:tc>
        <w:tc>
          <w:tcPr>
            <w:tcW w:w="0" w:type="auto"/>
            <w:vMerge/>
            <w:tcBorders>
              <w:top w:val="nil"/>
              <w:left w:val="single" w:sz="8" w:space="0" w:color="FFFFFF"/>
              <w:bottom w:val="nil"/>
              <w:right w:val="single" w:sz="8" w:space="0" w:color="FFFFFF"/>
            </w:tcBorders>
          </w:tcPr>
          <w:p w14:paraId="4370AD6B" w14:textId="77777777" w:rsidR="00203347" w:rsidRPr="00203347" w:rsidRDefault="00203347" w:rsidP="00203347">
            <w:pPr>
              <w:spacing w:line="259" w:lineRule="auto"/>
              <w:rPr>
                <w:rFonts w:ascii="Calibri" w:eastAsia="Calibri" w:hAnsi="Calibri" w:cs="Calibri"/>
                <w:color w:val="000000"/>
                <w:sz w:val="22"/>
              </w:rPr>
            </w:pPr>
          </w:p>
        </w:tc>
        <w:tc>
          <w:tcPr>
            <w:tcW w:w="1742" w:type="dxa"/>
            <w:tcBorders>
              <w:top w:val="single" w:sz="8" w:space="0" w:color="FFFFFF"/>
              <w:left w:val="single" w:sz="8" w:space="0" w:color="FFFFFF"/>
              <w:bottom w:val="single" w:sz="8" w:space="0" w:color="FFFFFF"/>
              <w:right w:val="single" w:sz="8" w:space="0" w:color="FFFFFF"/>
            </w:tcBorders>
            <w:shd w:val="clear" w:color="auto" w:fill="EEF7F8"/>
          </w:tcPr>
          <w:p w14:paraId="54B9B03F" w14:textId="77777777" w:rsidR="00203347" w:rsidRPr="00203347" w:rsidRDefault="00203347" w:rsidP="00203347">
            <w:pPr>
              <w:spacing w:line="259" w:lineRule="auto"/>
              <w:ind w:left="1"/>
              <w:rPr>
                <w:rFonts w:ascii="Calibri" w:eastAsia="Calibri" w:hAnsi="Calibri" w:cs="Calibri"/>
                <w:color w:val="000000"/>
                <w:sz w:val="22"/>
              </w:rPr>
            </w:pPr>
            <w:r w:rsidRPr="00203347">
              <w:rPr>
                <w:rFonts w:ascii="Tahoma" w:eastAsia="Tahoma" w:hAnsi="Tahoma" w:cs="Tahoma"/>
                <w:color w:val="000000"/>
                <w:sz w:val="15"/>
              </w:rPr>
              <w:t xml:space="preserve">400 grams or more mixture </w:t>
            </w:r>
          </w:p>
        </w:tc>
        <w:tc>
          <w:tcPr>
            <w:tcW w:w="0" w:type="auto"/>
            <w:vMerge/>
            <w:tcBorders>
              <w:top w:val="nil"/>
              <w:left w:val="single" w:sz="8" w:space="0" w:color="FFFFFF"/>
              <w:bottom w:val="nil"/>
              <w:right w:val="single" w:sz="8" w:space="0" w:color="FFFFFF"/>
            </w:tcBorders>
          </w:tcPr>
          <w:p w14:paraId="72AB3A93" w14:textId="77777777" w:rsidR="00203347" w:rsidRPr="00203347" w:rsidRDefault="00203347" w:rsidP="00203347">
            <w:pPr>
              <w:spacing w:line="259" w:lineRule="auto"/>
              <w:rPr>
                <w:rFonts w:ascii="Calibri" w:eastAsia="Calibri" w:hAnsi="Calibri" w:cs="Calibri"/>
                <w:color w:val="000000"/>
                <w:sz w:val="22"/>
              </w:rPr>
            </w:pPr>
          </w:p>
        </w:tc>
      </w:tr>
      <w:tr w:rsidR="00203347" w:rsidRPr="00203347" w14:paraId="184274B6" w14:textId="77777777" w:rsidTr="009F4130">
        <w:trPr>
          <w:trHeight w:val="455"/>
        </w:trPr>
        <w:tc>
          <w:tcPr>
            <w:tcW w:w="2146" w:type="dxa"/>
            <w:tcBorders>
              <w:top w:val="single" w:sz="8" w:space="0" w:color="FFFFFF"/>
              <w:left w:val="single" w:sz="8" w:space="0" w:color="FFFFFF"/>
              <w:bottom w:val="single" w:sz="8" w:space="0" w:color="FFFFFF"/>
              <w:right w:val="single" w:sz="8" w:space="0" w:color="FFFFFF"/>
            </w:tcBorders>
            <w:shd w:val="clear" w:color="auto" w:fill="EEF7F8"/>
          </w:tcPr>
          <w:p w14:paraId="5EDA2721" w14:textId="77777777" w:rsidR="00203347" w:rsidRPr="00203347" w:rsidRDefault="00203347" w:rsidP="00203347">
            <w:pPr>
              <w:spacing w:line="259" w:lineRule="auto"/>
              <w:ind w:left="1" w:right="27"/>
              <w:rPr>
                <w:rFonts w:ascii="Calibri" w:eastAsia="Calibri" w:hAnsi="Calibri" w:cs="Calibri"/>
                <w:color w:val="000000"/>
                <w:sz w:val="22"/>
              </w:rPr>
            </w:pPr>
            <w:r w:rsidRPr="00203347">
              <w:rPr>
                <w:rFonts w:ascii="Tahoma" w:eastAsia="Tahoma" w:hAnsi="Tahoma" w:cs="Tahoma"/>
                <w:color w:val="000000"/>
                <w:sz w:val="15"/>
              </w:rPr>
              <w:t xml:space="preserve">Fentanyl Analogue (Schedule I) </w:t>
            </w:r>
          </w:p>
        </w:tc>
        <w:tc>
          <w:tcPr>
            <w:tcW w:w="2030" w:type="dxa"/>
            <w:tcBorders>
              <w:top w:val="single" w:sz="8" w:space="0" w:color="FFFFFF"/>
              <w:left w:val="single" w:sz="8" w:space="0" w:color="FFFFFF"/>
              <w:bottom w:val="single" w:sz="8" w:space="0" w:color="FFFFFF"/>
              <w:right w:val="single" w:sz="8" w:space="0" w:color="FFFFFF"/>
            </w:tcBorders>
            <w:shd w:val="clear" w:color="auto" w:fill="EEF7F8"/>
          </w:tcPr>
          <w:p w14:paraId="721C10D3" w14:textId="77777777" w:rsidR="00203347" w:rsidRPr="00203347" w:rsidRDefault="00203347" w:rsidP="00203347">
            <w:pPr>
              <w:spacing w:line="259" w:lineRule="auto"/>
              <w:ind w:left="1"/>
              <w:rPr>
                <w:rFonts w:ascii="Calibri" w:eastAsia="Calibri" w:hAnsi="Calibri" w:cs="Calibri"/>
                <w:color w:val="000000"/>
                <w:sz w:val="22"/>
              </w:rPr>
            </w:pPr>
            <w:r w:rsidRPr="00203347">
              <w:rPr>
                <w:rFonts w:ascii="Tahoma" w:eastAsia="Tahoma" w:hAnsi="Tahoma" w:cs="Tahoma"/>
                <w:color w:val="000000"/>
                <w:sz w:val="15"/>
              </w:rPr>
              <w:t>10–99 grams mixture</w:t>
            </w:r>
          </w:p>
        </w:tc>
        <w:tc>
          <w:tcPr>
            <w:tcW w:w="0" w:type="auto"/>
            <w:vMerge/>
            <w:tcBorders>
              <w:top w:val="nil"/>
              <w:left w:val="single" w:sz="8" w:space="0" w:color="FFFFFF"/>
              <w:bottom w:val="nil"/>
              <w:right w:val="single" w:sz="8" w:space="0" w:color="FFFFFF"/>
            </w:tcBorders>
          </w:tcPr>
          <w:p w14:paraId="39BE67D0" w14:textId="77777777" w:rsidR="00203347" w:rsidRPr="00203347" w:rsidRDefault="00203347" w:rsidP="00203347">
            <w:pPr>
              <w:spacing w:line="259" w:lineRule="auto"/>
              <w:rPr>
                <w:rFonts w:ascii="Calibri" w:eastAsia="Calibri" w:hAnsi="Calibri" w:cs="Calibri"/>
                <w:color w:val="000000"/>
                <w:sz w:val="22"/>
              </w:rPr>
            </w:pPr>
          </w:p>
        </w:tc>
        <w:tc>
          <w:tcPr>
            <w:tcW w:w="1742" w:type="dxa"/>
            <w:tcBorders>
              <w:top w:val="single" w:sz="8" w:space="0" w:color="FFFFFF"/>
              <w:left w:val="single" w:sz="8" w:space="0" w:color="FFFFFF"/>
              <w:bottom w:val="single" w:sz="8" w:space="0" w:color="FFFFFF"/>
              <w:right w:val="single" w:sz="8" w:space="0" w:color="FFFFFF"/>
            </w:tcBorders>
            <w:shd w:val="clear" w:color="auto" w:fill="EEF7F8"/>
          </w:tcPr>
          <w:p w14:paraId="58A16576" w14:textId="77777777" w:rsidR="00203347" w:rsidRPr="00203347" w:rsidRDefault="00203347" w:rsidP="00203347">
            <w:pPr>
              <w:spacing w:line="259" w:lineRule="auto"/>
              <w:ind w:left="1"/>
              <w:rPr>
                <w:rFonts w:ascii="Calibri" w:eastAsia="Calibri" w:hAnsi="Calibri" w:cs="Calibri"/>
                <w:color w:val="000000"/>
                <w:sz w:val="22"/>
              </w:rPr>
            </w:pPr>
            <w:r w:rsidRPr="00203347">
              <w:rPr>
                <w:rFonts w:ascii="Tahoma" w:eastAsia="Tahoma" w:hAnsi="Tahoma" w:cs="Tahoma"/>
                <w:color w:val="000000"/>
                <w:sz w:val="15"/>
              </w:rPr>
              <w:t xml:space="preserve">100 grams or more mixture </w:t>
            </w:r>
          </w:p>
        </w:tc>
        <w:tc>
          <w:tcPr>
            <w:tcW w:w="0" w:type="auto"/>
            <w:vMerge/>
            <w:tcBorders>
              <w:top w:val="nil"/>
              <w:left w:val="single" w:sz="8" w:space="0" w:color="FFFFFF"/>
              <w:bottom w:val="nil"/>
              <w:right w:val="single" w:sz="8" w:space="0" w:color="FFFFFF"/>
            </w:tcBorders>
          </w:tcPr>
          <w:p w14:paraId="42BE43F9" w14:textId="77777777" w:rsidR="00203347" w:rsidRPr="00203347" w:rsidRDefault="00203347" w:rsidP="00203347">
            <w:pPr>
              <w:spacing w:line="259" w:lineRule="auto"/>
              <w:rPr>
                <w:rFonts w:ascii="Calibri" w:eastAsia="Calibri" w:hAnsi="Calibri" w:cs="Calibri"/>
                <w:color w:val="000000"/>
                <w:sz w:val="22"/>
              </w:rPr>
            </w:pPr>
          </w:p>
        </w:tc>
      </w:tr>
      <w:tr w:rsidR="00203347" w:rsidRPr="00203347" w14:paraId="0A3D4EB9" w14:textId="77777777" w:rsidTr="009F4130">
        <w:trPr>
          <w:trHeight w:val="275"/>
        </w:trPr>
        <w:tc>
          <w:tcPr>
            <w:tcW w:w="2146" w:type="dxa"/>
            <w:tcBorders>
              <w:top w:val="single" w:sz="8" w:space="0" w:color="FFFFFF"/>
              <w:left w:val="single" w:sz="8" w:space="0" w:color="FFFFFF"/>
              <w:bottom w:val="single" w:sz="8" w:space="0" w:color="FFFFFF"/>
              <w:right w:val="single" w:sz="8" w:space="0" w:color="FFFFFF"/>
            </w:tcBorders>
            <w:shd w:val="clear" w:color="auto" w:fill="EEF7F8"/>
          </w:tcPr>
          <w:p w14:paraId="48842802" w14:textId="77777777" w:rsidR="00203347" w:rsidRPr="00203347" w:rsidRDefault="00203347" w:rsidP="00203347">
            <w:pPr>
              <w:spacing w:line="259" w:lineRule="auto"/>
              <w:ind w:left="1"/>
              <w:rPr>
                <w:rFonts w:ascii="Calibri" w:eastAsia="Calibri" w:hAnsi="Calibri" w:cs="Calibri"/>
                <w:color w:val="000000"/>
                <w:sz w:val="22"/>
              </w:rPr>
            </w:pPr>
            <w:r w:rsidRPr="00203347">
              <w:rPr>
                <w:rFonts w:ascii="Tahoma" w:eastAsia="Tahoma" w:hAnsi="Tahoma" w:cs="Tahoma"/>
                <w:color w:val="000000"/>
                <w:sz w:val="15"/>
              </w:rPr>
              <w:t>Heroin (Schedule I)</w:t>
            </w:r>
          </w:p>
        </w:tc>
        <w:tc>
          <w:tcPr>
            <w:tcW w:w="2030" w:type="dxa"/>
            <w:tcBorders>
              <w:top w:val="single" w:sz="8" w:space="0" w:color="FFFFFF"/>
              <w:left w:val="single" w:sz="8" w:space="0" w:color="FFFFFF"/>
              <w:bottom w:val="single" w:sz="8" w:space="0" w:color="FFFFFF"/>
              <w:right w:val="single" w:sz="8" w:space="0" w:color="FFFFFF"/>
            </w:tcBorders>
            <w:shd w:val="clear" w:color="auto" w:fill="EEF7F8"/>
          </w:tcPr>
          <w:p w14:paraId="10FFAFEB" w14:textId="77777777" w:rsidR="00203347" w:rsidRPr="00203347" w:rsidRDefault="00203347" w:rsidP="00203347">
            <w:pPr>
              <w:spacing w:line="259" w:lineRule="auto"/>
              <w:ind w:left="1"/>
              <w:rPr>
                <w:rFonts w:ascii="Calibri" w:eastAsia="Calibri" w:hAnsi="Calibri" w:cs="Calibri"/>
                <w:color w:val="000000"/>
                <w:sz w:val="22"/>
              </w:rPr>
            </w:pPr>
            <w:r w:rsidRPr="00203347">
              <w:rPr>
                <w:rFonts w:ascii="Tahoma" w:eastAsia="Tahoma" w:hAnsi="Tahoma" w:cs="Tahoma"/>
                <w:color w:val="000000"/>
                <w:sz w:val="15"/>
              </w:rPr>
              <w:t>100–999 grams mixture</w:t>
            </w:r>
          </w:p>
        </w:tc>
        <w:tc>
          <w:tcPr>
            <w:tcW w:w="0" w:type="auto"/>
            <w:vMerge/>
            <w:tcBorders>
              <w:top w:val="nil"/>
              <w:left w:val="single" w:sz="8" w:space="0" w:color="FFFFFF"/>
              <w:bottom w:val="nil"/>
              <w:right w:val="single" w:sz="8" w:space="0" w:color="FFFFFF"/>
            </w:tcBorders>
          </w:tcPr>
          <w:p w14:paraId="3C0C8005" w14:textId="77777777" w:rsidR="00203347" w:rsidRPr="00203347" w:rsidRDefault="00203347" w:rsidP="00203347">
            <w:pPr>
              <w:spacing w:line="259" w:lineRule="auto"/>
              <w:rPr>
                <w:rFonts w:ascii="Calibri" w:eastAsia="Calibri" w:hAnsi="Calibri" w:cs="Calibri"/>
                <w:color w:val="000000"/>
                <w:sz w:val="22"/>
              </w:rPr>
            </w:pPr>
          </w:p>
        </w:tc>
        <w:tc>
          <w:tcPr>
            <w:tcW w:w="1742" w:type="dxa"/>
            <w:tcBorders>
              <w:top w:val="single" w:sz="8" w:space="0" w:color="FFFFFF"/>
              <w:left w:val="single" w:sz="8" w:space="0" w:color="FFFFFF"/>
              <w:bottom w:val="single" w:sz="8" w:space="0" w:color="FFFFFF"/>
              <w:right w:val="single" w:sz="8" w:space="0" w:color="FFFFFF"/>
            </w:tcBorders>
            <w:shd w:val="clear" w:color="auto" w:fill="EEF7F8"/>
          </w:tcPr>
          <w:p w14:paraId="46981BC1" w14:textId="77777777" w:rsidR="00203347" w:rsidRPr="00203347" w:rsidRDefault="00203347" w:rsidP="00203347">
            <w:pPr>
              <w:spacing w:line="259" w:lineRule="auto"/>
              <w:ind w:right="137"/>
              <w:jc w:val="center"/>
              <w:rPr>
                <w:rFonts w:ascii="Calibri" w:eastAsia="Calibri" w:hAnsi="Calibri" w:cs="Calibri"/>
                <w:color w:val="000000"/>
                <w:sz w:val="22"/>
              </w:rPr>
            </w:pPr>
            <w:r w:rsidRPr="00203347">
              <w:rPr>
                <w:rFonts w:ascii="Tahoma" w:eastAsia="Tahoma" w:hAnsi="Tahoma" w:cs="Tahoma"/>
                <w:color w:val="000000"/>
                <w:sz w:val="15"/>
              </w:rPr>
              <w:t xml:space="preserve">1 kg or more mixture </w:t>
            </w:r>
          </w:p>
        </w:tc>
        <w:tc>
          <w:tcPr>
            <w:tcW w:w="0" w:type="auto"/>
            <w:vMerge/>
            <w:tcBorders>
              <w:top w:val="nil"/>
              <w:left w:val="single" w:sz="8" w:space="0" w:color="FFFFFF"/>
              <w:bottom w:val="nil"/>
              <w:right w:val="single" w:sz="8" w:space="0" w:color="FFFFFF"/>
            </w:tcBorders>
          </w:tcPr>
          <w:p w14:paraId="546D9015" w14:textId="77777777" w:rsidR="00203347" w:rsidRPr="00203347" w:rsidRDefault="00203347" w:rsidP="00203347">
            <w:pPr>
              <w:spacing w:line="259" w:lineRule="auto"/>
              <w:rPr>
                <w:rFonts w:ascii="Calibri" w:eastAsia="Calibri" w:hAnsi="Calibri" w:cs="Calibri"/>
                <w:color w:val="000000"/>
                <w:sz w:val="22"/>
              </w:rPr>
            </w:pPr>
          </w:p>
        </w:tc>
      </w:tr>
      <w:tr w:rsidR="00203347" w:rsidRPr="00203347" w14:paraId="087F6363" w14:textId="77777777" w:rsidTr="009F4130">
        <w:trPr>
          <w:trHeight w:val="455"/>
        </w:trPr>
        <w:tc>
          <w:tcPr>
            <w:tcW w:w="2146" w:type="dxa"/>
            <w:tcBorders>
              <w:top w:val="single" w:sz="8" w:space="0" w:color="FFFFFF"/>
              <w:left w:val="single" w:sz="8" w:space="0" w:color="FFFFFF"/>
              <w:bottom w:val="single" w:sz="8" w:space="0" w:color="FFFFFF"/>
              <w:right w:val="single" w:sz="8" w:space="0" w:color="FFFFFF"/>
            </w:tcBorders>
            <w:shd w:val="clear" w:color="auto" w:fill="EEF7F8"/>
          </w:tcPr>
          <w:p w14:paraId="6D01C18E" w14:textId="77777777" w:rsidR="00203347" w:rsidRPr="00203347" w:rsidRDefault="00203347" w:rsidP="00203347">
            <w:pPr>
              <w:spacing w:line="259" w:lineRule="auto"/>
              <w:ind w:left="1"/>
              <w:rPr>
                <w:rFonts w:ascii="Calibri" w:eastAsia="Calibri" w:hAnsi="Calibri" w:cs="Calibri"/>
                <w:color w:val="000000"/>
                <w:sz w:val="22"/>
              </w:rPr>
            </w:pPr>
            <w:r w:rsidRPr="00203347">
              <w:rPr>
                <w:rFonts w:ascii="Tahoma" w:eastAsia="Tahoma" w:hAnsi="Tahoma" w:cs="Tahoma"/>
                <w:color w:val="000000"/>
                <w:sz w:val="15"/>
              </w:rPr>
              <w:t>LSD (Schedule I)</w:t>
            </w:r>
          </w:p>
        </w:tc>
        <w:tc>
          <w:tcPr>
            <w:tcW w:w="2030" w:type="dxa"/>
            <w:tcBorders>
              <w:top w:val="single" w:sz="8" w:space="0" w:color="FFFFFF"/>
              <w:left w:val="single" w:sz="8" w:space="0" w:color="FFFFFF"/>
              <w:bottom w:val="single" w:sz="8" w:space="0" w:color="FFFFFF"/>
              <w:right w:val="single" w:sz="8" w:space="0" w:color="FFFFFF"/>
            </w:tcBorders>
            <w:shd w:val="clear" w:color="auto" w:fill="EEF7F8"/>
          </w:tcPr>
          <w:p w14:paraId="776B672F" w14:textId="77777777" w:rsidR="00203347" w:rsidRPr="00203347" w:rsidRDefault="00203347" w:rsidP="00203347">
            <w:pPr>
              <w:spacing w:line="259" w:lineRule="auto"/>
              <w:ind w:left="1"/>
              <w:rPr>
                <w:rFonts w:ascii="Calibri" w:eastAsia="Calibri" w:hAnsi="Calibri" w:cs="Calibri"/>
                <w:color w:val="000000"/>
                <w:sz w:val="22"/>
              </w:rPr>
            </w:pPr>
            <w:r w:rsidRPr="00203347">
              <w:rPr>
                <w:rFonts w:ascii="Tahoma" w:eastAsia="Tahoma" w:hAnsi="Tahoma" w:cs="Tahoma"/>
                <w:color w:val="000000"/>
                <w:sz w:val="15"/>
              </w:rPr>
              <w:t>1–9 grams mixture</w:t>
            </w:r>
          </w:p>
        </w:tc>
        <w:tc>
          <w:tcPr>
            <w:tcW w:w="0" w:type="auto"/>
            <w:vMerge/>
            <w:tcBorders>
              <w:top w:val="nil"/>
              <w:left w:val="single" w:sz="8" w:space="0" w:color="FFFFFF"/>
              <w:bottom w:val="nil"/>
              <w:right w:val="single" w:sz="8" w:space="0" w:color="FFFFFF"/>
            </w:tcBorders>
          </w:tcPr>
          <w:p w14:paraId="6E6266FD" w14:textId="77777777" w:rsidR="00203347" w:rsidRPr="00203347" w:rsidRDefault="00203347" w:rsidP="00203347">
            <w:pPr>
              <w:spacing w:line="259" w:lineRule="auto"/>
              <w:rPr>
                <w:rFonts w:ascii="Calibri" w:eastAsia="Calibri" w:hAnsi="Calibri" w:cs="Calibri"/>
                <w:color w:val="000000"/>
                <w:sz w:val="22"/>
              </w:rPr>
            </w:pPr>
          </w:p>
        </w:tc>
        <w:tc>
          <w:tcPr>
            <w:tcW w:w="1742" w:type="dxa"/>
            <w:tcBorders>
              <w:top w:val="single" w:sz="8" w:space="0" w:color="FFFFFF"/>
              <w:left w:val="single" w:sz="8" w:space="0" w:color="FFFFFF"/>
              <w:bottom w:val="single" w:sz="8" w:space="0" w:color="FFFFFF"/>
              <w:right w:val="single" w:sz="8" w:space="0" w:color="FFFFFF"/>
            </w:tcBorders>
            <w:shd w:val="clear" w:color="auto" w:fill="EEF7F8"/>
          </w:tcPr>
          <w:p w14:paraId="5015EDEC" w14:textId="77777777" w:rsidR="00203347" w:rsidRPr="00203347" w:rsidRDefault="00203347" w:rsidP="00203347">
            <w:pPr>
              <w:spacing w:line="259" w:lineRule="auto"/>
              <w:ind w:left="1"/>
              <w:rPr>
                <w:rFonts w:ascii="Calibri" w:eastAsia="Calibri" w:hAnsi="Calibri" w:cs="Calibri"/>
                <w:color w:val="000000"/>
                <w:sz w:val="22"/>
              </w:rPr>
            </w:pPr>
            <w:r w:rsidRPr="00203347">
              <w:rPr>
                <w:rFonts w:ascii="Tahoma" w:eastAsia="Tahoma" w:hAnsi="Tahoma" w:cs="Tahoma"/>
                <w:color w:val="000000"/>
                <w:sz w:val="15"/>
              </w:rPr>
              <w:t xml:space="preserve">10 grams or more mixture </w:t>
            </w:r>
          </w:p>
        </w:tc>
        <w:tc>
          <w:tcPr>
            <w:tcW w:w="0" w:type="auto"/>
            <w:vMerge/>
            <w:tcBorders>
              <w:top w:val="nil"/>
              <w:left w:val="single" w:sz="8" w:space="0" w:color="FFFFFF"/>
              <w:bottom w:val="nil"/>
              <w:right w:val="single" w:sz="8" w:space="0" w:color="FFFFFF"/>
            </w:tcBorders>
          </w:tcPr>
          <w:p w14:paraId="745553DE" w14:textId="77777777" w:rsidR="00203347" w:rsidRPr="00203347" w:rsidRDefault="00203347" w:rsidP="00203347">
            <w:pPr>
              <w:spacing w:line="259" w:lineRule="auto"/>
              <w:rPr>
                <w:rFonts w:ascii="Calibri" w:eastAsia="Calibri" w:hAnsi="Calibri" w:cs="Calibri"/>
                <w:color w:val="000000"/>
                <w:sz w:val="22"/>
              </w:rPr>
            </w:pPr>
          </w:p>
        </w:tc>
      </w:tr>
      <w:tr w:rsidR="00203347" w:rsidRPr="00203347" w14:paraId="25C3C483" w14:textId="77777777" w:rsidTr="009F4130">
        <w:trPr>
          <w:trHeight w:val="902"/>
        </w:trPr>
        <w:tc>
          <w:tcPr>
            <w:tcW w:w="2146" w:type="dxa"/>
            <w:tcBorders>
              <w:top w:val="single" w:sz="8" w:space="0" w:color="FFFFFF"/>
              <w:left w:val="single" w:sz="8" w:space="0" w:color="FFFFFF"/>
              <w:bottom w:val="single" w:sz="8" w:space="0" w:color="FFFFFF"/>
              <w:right w:val="single" w:sz="8" w:space="0" w:color="FFFFFF"/>
            </w:tcBorders>
            <w:shd w:val="clear" w:color="auto" w:fill="EEF7F8"/>
          </w:tcPr>
          <w:p w14:paraId="1A148AA2" w14:textId="77777777" w:rsidR="00203347" w:rsidRPr="00203347" w:rsidRDefault="00203347" w:rsidP="00203347">
            <w:pPr>
              <w:spacing w:after="258" w:line="259" w:lineRule="auto"/>
              <w:ind w:left="1"/>
              <w:rPr>
                <w:rFonts w:ascii="Calibri" w:eastAsia="Calibri" w:hAnsi="Calibri" w:cs="Calibri"/>
                <w:color w:val="000000"/>
                <w:sz w:val="22"/>
              </w:rPr>
            </w:pPr>
            <w:r w:rsidRPr="00203347">
              <w:rPr>
                <w:rFonts w:ascii="Tahoma" w:eastAsia="Tahoma" w:hAnsi="Tahoma" w:cs="Tahoma"/>
                <w:color w:val="000000"/>
                <w:sz w:val="15"/>
              </w:rPr>
              <w:t>Methamphetamine</w:t>
            </w:r>
          </w:p>
          <w:p w14:paraId="21172F23" w14:textId="77777777" w:rsidR="00203347" w:rsidRPr="00203347" w:rsidRDefault="00203347" w:rsidP="00203347">
            <w:pPr>
              <w:spacing w:line="259" w:lineRule="auto"/>
              <w:ind w:left="1"/>
              <w:rPr>
                <w:rFonts w:ascii="Calibri" w:eastAsia="Calibri" w:hAnsi="Calibri" w:cs="Calibri"/>
                <w:color w:val="000000"/>
                <w:sz w:val="22"/>
              </w:rPr>
            </w:pPr>
            <w:r w:rsidRPr="00203347">
              <w:rPr>
                <w:rFonts w:ascii="Tahoma" w:eastAsia="Tahoma" w:hAnsi="Tahoma" w:cs="Tahoma"/>
                <w:color w:val="000000"/>
                <w:sz w:val="15"/>
              </w:rPr>
              <w:t>(Schedule II)</w:t>
            </w:r>
          </w:p>
        </w:tc>
        <w:tc>
          <w:tcPr>
            <w:tcW w:w="2030" w:type="dxa"/>
            <w:tcBorders>
              <w:top w:val="single" w:sz="8" w:space="0" w:color="FFFFFF"/>
              <w:left w:val="single" w:sz="8" w:space="0" w:color="FFFFFF"/>
              <w:bottom w:val="single" w:sz="8" w:space="0" w:color="FFFFFF"/>
              <w:right w:val="single" w:sz="8" w:space="0" w:color="FFFFFF"/>
            </w:tcBorders>
            <w:shd w:val="clear" w:color="auto" w:fill="EEF7F8"/>
          </w:tcPr>
          <w:p w14:paraId="117813BB" w14:textId="77777777" w:rsidR="00203347" w:rsidRPr="00203347" w:rsidRDefault="00203347" w:rsidP="00203347">
            <w:pPr>
              <w:spacing w:after="258" w:line="259" w:lineRule="auto"/>
              <w:ind w:left="1"/>
              <w:rPr>
                <w:rFonts w:ascii="Calibri" w:eastAsia="Calibri" w:hAnsi="Calibri" w:cs="Calibri"/>
                <w:color w:val="000000"/>
                <w:sz w:val="22"/>
              </w:rPr>
            </w:pPr>
            <w:r w:rsidRPr="00203347">
              <w:rPr>
                <w:rFonts w:ascii="Tahoma" w:eastAsia="Tahoma" w:hAnsi="Tahoma" w:cs="Tahoma"/>
                <w:color w:val="000000"/>
                <w:sz w:val="15"/>
              </w:rPr>
              <w:t>5–49 grams pure or</w:t>
            </w:r>
          </w:p>
          <w:p w14:paraId="4699A162" w14:textId="77777777" w:rsidR="00203347" w:rsidRPr="00203347" w:rsidRDefault="00203347" w:rsidP="00203347">
            <w:pPr>
              <w:spacing w:line="259" w:lineRule="auto"/>
              <w:ind w:left="1"/>
              <w:rPr>
                <w:rFonts w:ascii="Calibri" w:eastAsia="Calibri" w:hAnsi="Calibri" w:cs="Calibri"/>
                <w:color w:val="000000"/>
                <w:sz w:val="22"/>
              </w:rPr>
            </w:pPr>
            <w:r w:rsidRPr="00203347">
              <w:rPr>
                <w:rFonts w:ascii="Tahoma" w:eastAsia="Tahoma" w:hAnsi="Tahoma" w:cs="Tahoma"/>
                <w:color w:val="000000"/>
                <w:sz w:val="15"/>
              </w:rPr>
              <w:t>50–499 grams mixture</w:t>
            </w:r>
          </w:p>
        </w:tc>
        <w:tc>
          <w:tcPr>
            <w:tcW w:w="0" w:type="auto"/>
            <w:vMerge/>
            <w:tcBorders>
              <w:top w:val="nil"/>
              <w:left w:val="single" w:sz="8" w:space="0" w:color="FFFFFF"/>
              <w:bottom w:val="nil"/>
              <w:right w:val="single" w:sz="8" w:space="0" w:color="FFFFFF"/>
            </w:tcBorders>
          </w:tcPr>
          <w:p w14:paraId="0ED10C23" w14:textId="77777777" w:rsidR="00203347" w:rsidRPr="00203347" w:rsidRDefault="00203347" w:rsidP="00203347">
            <w:pPr>
              <w:spacing w:line="259" w:lineRule="auto"/>
              <w:rPr>
                <w:rFonts w:ascii="Calibri" w:eastAsia="Calibri" w:hAnsi="Calibri" w:cs="Calibri"/>
                <w:color w:val="000000"/>
                <w:sz w:val="22"/>
              </w:rPr>
            </w:pPr>
          </w:p>
        </w:tc>
        <w:tc>
          <w:tcPr>
            <w:tcW w:w="1742" w:type="dxa"/>
            <w:tcBorders>
              <w:top w:val="single" w:sz="8" w:space="0" w:color="FFFFFF"/>
              <w:left w:val="single" w:sz="8" w:space="0" w:color="FFFFFF"/>
              <w:bottom w:val="single" w:sz="8" w:space="0" w:color="FFFFFF"/>
              <w:right w:val="single" w:sz="8" w:space="0" w:color="FFFFFF"/>
            </w:tcBorders>
            <w:shd w:val="clear" w:color="auto" w:fill="EEF7F8"/>
          </w:tcPr>
          <w:p w14:paraId="04CB64E6" w14:textId="77777777" w:rsidR="00203347" w:rsidRPr="00203347" w:rsidRDefault="00203347" w:rsidP="00203347">
            <w:pPr>
              <w:spacing w:after="95" w:line="237" w:lineRule="auto"/>
              <w:ind w:left="1" w:right="10"/>
              <w:rPr>
                <w:rFonts w:ascii="Calibri" w:eastAsia="Calibri" w:hAnsi="Calibri" w:cs="Calibri"/>
                <w:color w:val="000000"/>
                <w:sz w:val="22"/>
              </w:rPr>
            </w:pPr>
            <w:r w:rsidRPr="00203347">
              <w:rPr>
                <w:rFonts w:ascii="Tahoma" w:eastAsia="Tahoma" w:hAnsi="Tahoma" w:cs="Tahoma"/>
                <w:color w:val="000000"/>
                <w:sz w:val="15"/>
              </w:rPr>
              <w:t xml:space="preserve">50 grams or more pure or </w:t>
            </w:r>
          </w:p>
          <w:p w14:paraId="09EA784A" w14:textId="77777777" w:rsidR="00203347" w:rsidRPr="00203347" w:rsidRDefault="00203347" w:rsidP="00203347">
            <w:pPr>
              <w:spacing w:line="259" w:lineRule="auto"/>
              <w:ind w:left="1"/>
              <w:rPr>
                <w:rFonts w:ascii="Calibri" w:eastAsia="Calibri" w:hAnsi="Calibri" w:cs="Calibri"/>
                <w:color w:val="000000"/>
                <w:sz w:val="22"/>
              </w:rPr>
            </w:pPr>
            <w:r w:rsidRPr="00203347">
              <w:rPr>
                <w:rFonts w:ascii="Tahoma" w:eastAsia="Tahoma" w:hAnsi="Tahoma" w:cs="Tahoma"/>
                <w:color w:val="000000"/>
                <w:sz w:val="15"/>
              </w:rPr>
              <w:t xml:space="preserve">500 grams or more </w:t>
            </w:r>
          </w:p>
          <w:p w14:paraId="03157339" w14:textId="77777777" w:rsidR="00203347" w:rsidRPr="00203347" w:rsidRDefault="00203347" w:rsidP="00203347">
            <w:pPr>
              <w:spacing w:line="259" w:lineRule="auto"/>
              <w:ind w:left="1"/>
              <w:rPr>
                <w:rFonts w:ascii="Calibri" w:eastAsia="Calibri" w:hAnsi="Calibri" w:cs="Calibri"/>
                <w:color w:val="000000"/>
                <w:sz w:val="22"/>
              </w:rPr>
            </w:pPr>
            <w:r w:rsidRPr="00203347">
              <w:rPr>
                <w:rFonts w:ascii="Tahoma" w:eastAsia="Tahoma" w:hAnsi="Tahoma" w:cs="Tahoma"/>
                <w:color w:val="000000"/>
                <w:sz w:val="15"/>
              </w:rPr>
              <w:t xml:space="preserve">mixture </w:t>
            </w:r>
          </w:p>
        </w:tc>
        <w:tc>
          <w:tcPr>
            <w:tcW w:w="0" w:type="auto"/>
            <w:vMerge/>
            <w:tcBorders>
              <w:top w:val="nil"/>
              <w:left w:val="single" w:sz="8" w:space="0" w:color="FFFFFF"/>
              <w:bottom w:val="nil"/>
              <w:right w:val="single" w:sz="8" w:space="0" w:color="FFFFFF"/>
            </w:tcBorders>
          </w:tcPr>
          <w:p w14:paraId="68F1F7FE" w14:textId="77777777" w:rsidR="00203347" w:rsidRPr="00203347" w:rsidRDefault="00203347" w:rsidP="00203347">
            <w:pPr>
              <w:spacing w:line="259" w:lineRule="auto"/>
              <w:rPr>
                <w:rFonts w:ascii="Calibri" w:eastAsia="Calibri" w:hAnsi="Calibri" w:cs="Calibri"/>
                <w:color w:val="000000"/>
                <w:sz w:val="22"/>
              </w:rPr>
            </w:pPr>
          </w:p>
        </w:tc>
      </w:tr>
      <w:tr w:rsidR="00203347" w:rsidRPr="00203347" w14:paraId="7BBF8C12" w14:textId="77777777" w:rsidTr="009F4130">
        <w:trPr>
          <w:trHeight w:val="2045"/>
        </w:trPr>
        <w:tc>
          <w:tcPr>
            <w:tcW w:w="2146" w:type="dxa"/>
            <w:tcBorders>
              <w:top w:val="single" w:sz="8" w:space="0" w:color="FFFFFF"/>
              <w:left w:val="single" w:sz="8" w:space="0" w:color="FFFFFF"/>
              <w:bottom w:val="single" w:sz="8" w:space="0" w:color="FFFFFF"/>
              <w:right w:val="single" w:sz="8" w:space="0" w:color="FFFFFF"/>
            </w:tcBorders>
            <w:shd w:val="clear" w:color="auto" w:fill="EEF7F8"/>
          </w:tcPr>
          <w:p w14:paraId="62569C05" w14:textId="77777777" w:rsidR="00203347" w:rsidRPr="00203347" w:rsidRDefault="00203347" w:rsidP="00203347">
            <w:pPr>
              <w:spacing w:line="259" w:lineRule="auto"/>
              <w:ind w:left="1"/>
              <w:rPr>
                <w:rFonts w:ascii="Calibri" w:eastAsia="Calibri" w:hAnsi="Calibri" w:cs="Calibri"/>
                <w:color w:val="000000"/>
                <w:sz w:val="22"/>
              </w:rPr>
            </w:pPr>
            <w:r w:rsidRPr="00203347">
              <w:rPr>
                <w:rFonts w:ascii="Tahoma" w:eastAsia="Tahoma" w:hAnsi="Tahoma" w:cs="Tahoma"/>
                <w:color w:val="000000"/>
                <w:sz w:val="15"/>
              </w:rPr>
              <w:t>PCP (Schedule II)</w:t>
            </w:r>
          </w:p>
        </w:tc>
        <w:tc>
          <w:tcPr>
            <w:tcW w:w="2030" w:type="dxa"/>
            <w:tcBorders>
              <w:top w:val="single" w:sz="8" w:space="0" w:color="FFFFFF"/>
              <w:left w:val="single" w:sz="8" w:space="0" w:color="FFFFFF"/>
              <w:bottom w:val="single" w:sz="8" w:space="0" w:color="FFFFFF"/>
              <w:right w:val="single" w:sz="8" w:space="0" w:color="FFFFFF"/>
            </w:tcBorders>
            <w:shd w:val="clear" w:color="auto" w:fill="EEF7F8"/>
          </w:tcPr>
          <w:p w14:paraId="2FAC6221" w14:textId="77777777" w:rsidR="00203347" w:rsidRPr="00203347" w:rsidRDefault="00203347" w:rsidP="00203347">
            <w:pPr>
              <w:spacing w:line="259" w:lineRule="auto"/>
              <w:ind w:left="1" w:right="438"/>
              <w:rPr>
                <w:rFonts w:ascii="Calibri" w:eastAsia="Calibri" w:hAnsi="Calibri" w:cs="Calibri"/>
                <w:color w:val="000000"/>
                <w:sz w:val="22"/>
              </w:rPr>
            </w:pPr>
            <w:r w:rsidRPr="00203347">
              <w:rPr>
                <w:rFonts w:ascii="Tahoma" w:eastAsia="Tahoma" w:hAnsi="Tahoma" w:cs="Tahoma"/>
                <w:color w:val="000000"/>
                <w:sz w:val="15"/>
              </w:rPr>
              <w:t xml:space="preserve">10–99 grams pure or 100–999 grams mixture </w:t>
            </w:r>
          </w:p>
        </w:tc>
        <w:tc>
          <w:tcPr>
            <w:tcW w:w="0" w:type="auto"/>
            <w:vMerge/>
            <w:tcBorders>
              <w:top w:val="nil"/>
              <w:left w:val="single" w:sz="8" w:space="0" w:color="FFFFFF"/>
              <w:bottom w:val="single" w:sz="8" w:space="0" w:color="FFFFFF"/>
              <w:right w:val="single" w:sz="8" w:space="0" w:color="FFFFFF"/>
            </w:tcBorders>
          </w:tcPr>
          <w:p w14:paraId="033D5E90" w14:textId="77777777" w:rsidR="00203347" w:rsidRPr="00203347" w:rsidRDefault="00203347" w:rsidP="00203347">
            <w:pPr>
              <w:spacing w:line="259" w:lineRule="auto"/>
              <w:rPr>
                <w:rFonts w:ascii="Calibri" w:eastAsia="Calibri" w:hAnsi="Calibri" w:cs="Calibri"/>
                <w:color w:val="000000"/>
                <w:sz w:val="22"/>
              </w:rPr>
            </w:pPr>
          </w:p>
        </w:tc>
        <w:tc>
          <w:tcPr>
            <w:tcW w:w="1742" w:type="dxa"/>
            <w:tcBorders>
              <w:top w:val="single" w:sz="8" w:space="0" w:color="FFFFFF"/>
              <w:left w:val="single" w:sz="8" w:space="0" w:color="FFFFFF"/>
              <w:bottom w:val="single" w:sz="8" w:space="0" w:color="FFFFFF"/>
              <w:right w:val="single" w:sz="8" w:space="0" w:color="FFFFFF"/>
            </w:tcBorders>
            <w:shd w:val="clear" w:color="auto" w:fill="EEF7F8"/>
          </w:tcPr>
          <w:p w14:paraId="6461743B" w14:textId="77777777" w:rsidR="00203347" w:rsidRPr="00203347" w:rsidRDefault="00203347" w:rsidP="00203347">
            <w:pPr>
              <w:spacing w:line="259" w:lineRule="auto"/>
              <w:ind w:left="1" w:right="157"/>
              <w:rPr>
                <w:rFonts w:ascii="Calibri" w:eastAsia="Calibri" w:hAnsi="Calibri" w:cs="Calibri"/>
                <w:color w:val="000000"/>
                <w:sz w:val="22"/>
              </w:rPr>
            </w:pPr>
            <w:r w:rsidRPr="00203347">
              <w:rPr>
                <w:rFonts w:ascii="Tahoma" w:eastAsia="Tahoma" w:hAnsi="Tahoma" w:cs="Tahoma"/>
                <w:color w:val="000000"/>
                <w:sz w:val="15"/>
              </w:rPr>
              <w:t xml:space="preserve">100 gm or more pure or 1 kg or more mixture </w:t>
            </w:r>
          </w:p>
        </w:tc>
        <w:tc>
          <w:tcPr>
            <w:tcW w:w="0" w:type="auto"/>
            <w:vMerge/>
            <w:tcBorders>
              <w:top w:val="nil"/>
              <w:left w:val="single" w:sz="8" w:space="0" w:color="FFFFFF"/>
              <w:bottom w:val="single" w:sz="8" w:space="0" w:color="FFFFFF"/>
              <w:right w:val="single" w:sz="8" w:space="0" w:color="FFFFFF"/>
            </w:tcBorders>
          </w:tcPr>
          <w:p w14:paraId="09B4E4F0" w14:textId="77777777" w:rsidR="00203347" w:rsidRPr="00203347" w:rsidRDefault="00203347" w:rsidP="00203347">
            <w:pPr>
              <w:spacing w:line="259" w:lineRule="auto"/>
              <w:rPr>
                <w:rFonts w:ascii="Calibri" w:eastAsia="Calibri" w:hAnsi="Calibri" w:cs="Calibri"/>
                <w:color w:val="000000"/>
                <w:sz w:val="22"/>
              </w:rPr>
            </w:pPr>
          </w:p>
        </w:tc>
      </w:tr>
      <w:tr w:rsidR="00203347" w:rsidRPr="00203347" w14:paraId="085C792A" w14:textId="77777777" w:rsidTr="009F4130">
        <w:trPr>
          <w:trHeight w:val="485"/>
        </w:trPr>
        <w:tc>
          <w:tcPr>
            <w:tcW w:w="2146" w:type="dxa"/>
            <w:tcBorders>
              <w:top w:val="single" w:sz="8" w:space="0" w:color="FFFFFF"/>
              <w:left w:val="single" w:sz="8" w:space="0" w:color="FFFFFF"/>
              <w:bottom w:val="single" w:sz="8" w:space="0" w:color="FFFFFF"/>
              <w:right w:val="nil"/>
            </w:tcBorders>
            <w:shd w:val="clear" w:color="auto" w:fill="CCCABB"/>
          </w:tcPr>
          <w:p w14:paraId="7E6D9A47" w14:textId="77777777" w:rsidR="00203347" w:rsidRPr="00203347" w:rsidRDefault="00203347" w:rsidP="00203347">
            <w:pPr>
              <w:spacing w:line="259" w:lineRule="auto"/>
              <w:rPr>
                <w:rFonts w:ascii="Calibri" w:eastAsia="Calibri" w:hAnsi="Calibri" w:cs="Calibri"/>
                <w:color w:val="000000"/>
                <w:sz w:val="22"/>
              </w:rPr>
            </w:pPr>
          </w:p>
        </w:tc>
        <w:tc>
          <w:tcPr>
            <w:tcW w:w="7867" w:type="dxa"/>
            <w:gridSpan w:val="4"/>
            <w:tcBorders>
              <w:top w:val="single" w:sz="8" w:space="0" w:color="FFFFFF"/>
              <w:left w:val="nil"/>
              <w:bottom w:val="single" w:sz="8" w:space="0" w:color="FFFFFF"/>
              <w:right w:val="single" w:sz="8" w:space="0" w:color="FFFFFF"/>
            </w:tcBorders>
            <w:shd w:val="clear" w:color="auto" w:fill="CCCABB"/>
            <w:vAlign w:val="center"/>
          </w:tcPr>
          <w:p w14:paraId="4DC48CDA" w14:textId="77777777" w:rsidR="00203347" w:rsidRPr="00203347" w:rsidRDefault="00203347" w:rsidP="00203347">
            <w:pPr>
              <w:spacing w:line="259" w:lineRule="auto"/>
              <w:ind w:left="2223"/>
              <w:rPr>
                <w:rFonts w:ascii="Calibri" w:eastAsia="Calibri" w:hAnsi="Calibri" w:cs="Calibri"/>
                <w:color w:val="000000"/>
                <w:sz w:val="22"/>
              </w:rPr>
            </w:pPr>
            <w:r w:rsidRPr="00203347">
              <w:rPr>
                <w:rFonts w:ascii="Arial" w:eastAsia="Arial" w:hAnsi="Arial" w:cs="Arial"/>
                <w:color w:val="000000"/>
                <w:sz w:val="18"/>
              </w:rPr>
              <w:t xml:space="preserve">PENALTIES </w:t>
            </w:r>
          </w:p>
        </w:tc>
      </w:tr>
      <w:tr w:rsidR="00203347" w:rsidRPr="00203347" w14:paraId="717683DB" w14:textId="77777777" w:rsidTr="009F4130">
        <w:trPr>
          <w:trHeight w:val="877"/>
        </w:trPr>
        <w:tc>
          <w:tcPr>
            <w:tcW w:w="2146" w:type="dxa"/>
            <w:tcBorders>
              <w:top w:val="single" w:sz="8" w:space="0" w:color="FFFFFF"/>
              <w:left w:val="single" w:sz="8" w:space="0" w:color="FFFFFF"/>
              <w:bottom w:val="nil"/>
              <w:right w:val="single" w:sz="8" w:space="0" w:color="FFFFFF"/>
            </w:tcBorders>
            <w:shd w:val="clear" w:color="auto" w:fill="EEF7F8"/>
          </w:tcPr>
          <w:p w14:paraId="5EA0FE4C" w14:textId="77777777" w:rsidR="00203347" w:rsidRPr="00203347" w:rsidRDefault="00203347" w:rsidP="00203347">
            <w:pPr>
              <w:spacing w:line="252" w:lineRule="auto"/>
              <w:ind w:left="1" w:right="66"/>
              <w:rPr>
                <w:rFonts w:ascii="Calibri" w:eastAsia="Calibri" w:hAnsi="Calibri" w:cs="Calibri"/>
                <w:color w:val="000000"/>
                <w:sz w:val="22"/>
              </w:rPr>
            </w:pPr>
            <w:r w:rsidRPr="00203347">
              <w:rPr>
                <w:rFonts w:ascii="Tahoma" w:eastAsia="Tahoma" w:hAnsi="Tahoma" w:cs="Tahoma"/>
                <w:color w:val="000000"/>
                <w:sz w:val="15"/>
              </w:rPr>
              <w:t xml:space="preserve">Other Schedule I &amp; II drugs (and any drug product containing Gamma </w:t>
            </w:r>
          </w:p>
          <w:p w14:paraId="614892BB" w14:textId="77777777" w:rsidR="00203347" w:rsidRPr="00203347" w:rsidRDefault="00203347" w:rsidP="00203347">
            <w:pPr>
              <w:spacing w:line="259" w:lineRule="auto"/>
              <w:ind w:left="1"/>
              <w:rPr>
                <w:rFonts w:ascii="Calibri" w:eastAsia="Calibri" w:hAnsi="Calibri" w:cs="Calibri"/>
                <w:color w:val="000000"/>
                <w:sz w:val="22"/>
              </w:rPr>
            </w:pPr>
            <w:r w:rsidRPr="00203347">
              <w:rPr>
                <w:rFonts w:ascii="Tahoma" w:eastAsia="Tahoma" w:hAnsi="Tahoma" w:cs="Tahoma"/>
                <w:color w:val="000000"/>
                <w:sz w:val="15"/>
              </w:rPr>
              <w:t xml:space="preserve">Hydroxybutyric Acid) </w:t>
            </w:r>
          </w:p>
        </w:tc>
        <w:tc>
          <w:tcPr>
            <w:tcW w:w="2030" w:type="dxa"/>
            <w:tcBorders>
              <w:top w:val="single" w:sz="8" w:space="0" w:color="FFFFFF"/>
              <w:left w:val="single" w:sz="8" w:space="0" w:color="FFFFFF"/>
              <w:bottom w:val="nil"/>
              <w:right w:val="single" w:sz="8" w:space="0" w:color="FFFFFF"/>
            </w:tcBorders>
            <w:shd w:val="clear" w:color="auto" w:fill="EEF7F8"/>
          </w:tcPr>
          <w:p w14:paraId="38320A11" w14:textId="77777777" w:rsidR="00203347" w:rsidRPr="00203347" w:rsidRDefault="00203347" w:rsidP="00203347">
            <w:pPr>
              <w:spacing w:line="259" w:lineRule="auto"/>
              <w:rPr>
                <w:rFonts w:ascii="Calibri" w:eastAsia="Calibri" w:hAnsi="Calibri" w:cs="Calibri"/>
                <w:color w:val="000000"/>
                <w:sz w:val="22"/>
              </w:rPr>
            </w:pPr>
            <w:r w:rsidRPr="00203347">
              <w:rPr>
                <w:rFonts w:ascii="Tahoma" w:eastAsia="Tahoma" w:hAnsi="Tahoma" w:cs="Tahoma"/>
                <w:color w:val="000000"/>
                <w:sz w:val="15"/>
              </w:rPr>
              <w:t>Any amount</w:t>
            </w:r>
          </w:p>
        </w:tc>
        <w:tc>
          <w:tcPr>
            <w:tcW w:w="5836" w:type="dxa"/>
            <w:gridSpan w:val="3"/>
            <w:tcBorders>
              <w:top w:val="single" w:sz="8" w:space="0" w:color="FFFFFF"/>
              <w:left w:val="single" w:sz="8" w:space="0" w:color="FFFFFF"/>
              <w:bottom w:val="nil"/>
              <w:right w:val="single" w:sz="8" w:space="0" w:color="FFFFFF"/>
            </w:tcBorders>
            <w:shd w:val="clear" w:color="auto" w:fill="EEF7F8"/>
          </w:tcPr>
          <w:p w14:paraId="72B90ADC" w14:textId="01C61B0C" w:rsidR="00203347" w:rsidRPr="00203347" w:rsidRDefault="00203347" w:rsidP="00203347">
            <w:pPr>
              <w:spacing w:after="91" w:line="238" w:lineRule="auto"/>
              <w:ind w:left="1" w:right="658" w:hanging="1"/>
              <w:jc w:val="both"/>
              <w:rPr>
                <w:rFonts w:ascii="Calibri" w:eastAsia="Calibri" w:hAnsi="Calibri" w:cs="Calibri"/>
                <w:color w:val="000000"/>
                <w:sz w:val="22"/>
              </w:rPr>
            </w:pPr>
            <w:r w:rsidRPr="00203347">
              <w:rPr>
                <w:rFonts w:ascii="Arial" w:eastAsia="Arial" w:hAnsi="Arial" w:cs="Arial"/>
                <w:b/>
                <w:color w:val="000000"/>
                <w:sz w:val="16"/>
              </w:rPr>
              <w:t xml:space="preserve">First Offense: </w:t>
            </w:r>
            <w:r w:rsidRPr="00203347">
              <w:rPr>
                <w:rFonts w:ascii="Tahoma" w:eastAsia="Tahoma" w:hAnsi="Tahoma" w:cs="Tahoma"/>
                <w:color w:val="000000"/>
                <w:sz w:val="15"/>
              </w:rPr>
              <w:t xml:space="preserve">Not more than 20 yrs. If death or serious injury, not less than 20 </w:t>
            </w:r>
            <w:r w:rsidR="00F81050" w:rsidRPr="00203347">
              <w:rPr>
                <w:rFonts w:ascii="Tahoma" w:eastAsia="Tahoma" w:hAnsi="Tahoma" w:cs="Tahoma"/>
                <w:color w:val="000000"/>
                <w:sz w:val="15"/>
              </w:rPr>
              <w:t>yrs.</w:t>
            </w:r>
            <w:r w:rsidRPr="00203347">
              <w:rPr>
                <w:rFonts w:ascii="Tahoma" w:eastAsia="Tahoma" w:hAnsi="Tahoma" w:cs="Tahoma"/>
                <w:color w:val="000000"/>
                <w:sz w:val="15"/>
              </w:rPr>
              <w:t xml:space="preserve">, or more than life. Fine $1 million if an individual, $5 million if not an individual. </w:t>
            </w:r>
          </w:p>
          <w:p w14:paraId="3FE28E36" w14:textId="77777777" w:rsidR="00203347" w:rsidRPr="00203347" w:rsidRDefault="00203347" w:rsidP="00203347">
            <w:pPr>
              <w:spacing w:line="259" w:lineRule="auto"/>
              <w:ind w:left="1"/>
              <w:rPr>
                <w:rFonts w:ascii="Calibri" w:eastAsia="Calibri" w:hAnsi="Calibri" w:cs="Calibri"/>
                <w:color w:val="000000"/>
                <w:sz w:val="22"/>
              </w:rPr>
            </w:pPr>
            <w:r w:rsidRPr="00203347">
              <w:rPr>
                <w:rFonts w:ascii="Arial" w:eastAsia="Arial" w:hAnsi="Arial" w:cs="Arial"/>
                <w:b/>
                <w:color w:val="000000"/>
                <w:sz w:val="16"/>
              </w:rPr>
              <w:t xml:space="preserve">Second Offense: </w:t>
            </w:r>
            <w:r w:rsidRPr="00203347">
              <w:rPr>
                <w:rFonts w:ascii="Tahoma" w:eastAsia="Tahoma" w:hAnsi="Tahoma" w:cs="Tahoma"/>
                <w:color w:val="000000"/>
                <w:sz w:val="15"/>
              </w:rPr>
              <w:t xml:space="preserve">Not more than 30 yrs. If death or serious bodily injury, life </w:t>
            </w:r>
          </w:p>
        </w:tc>
      </w:tr>
      <w:tr w:rsidR="00203347" w:rsidRPr="00203347" w14:paraId="321D6A4A" w14:textId="77777777" w:rsidTr="009F4130">
        <w:trPr>
          <w:trHeight w:val="238"/>
        </w:trPr>
        <w:tc>
          <w:tcPr>
            <w:tcW w:w="2146" w:type="dxa"/>
            <w:tcBorders>
              <w:top w:val="nil"/>
              <w:left w:val="single" w:sz="8" w:space="0" w:color="FFFFFF"/>
              <w:bottom w:val="single" w:sz="8" w:space="0" w:color="FFFFFF"/>
              <w:right w:val="single" w:sz="8" w:space="0" w:color="FFFFFF"/>
            </w:tcBorders>
            <w:shd w:val="clear" w:color="auto" w:fill="EEF7F8"/>
          </w:tcPr>
          <w:p w14:paraId="6AAD6B62" w14:textId="77777777" w:rsidR="00203347" w:rsidRPr="00203347" w:rsidRDefault="00203347" w:rsidP="00203347">
            <w:pPr>
              <w:spacing w:line="259" w:lineRule="auto"/>
              <w:ind w:right="67"/>
              <w:jc w:val="center"/>
              <w:rPr>
                <w:rFonts w:ascii="Calibri" w:eastAsia="Calibri" w:hAnsi="Calibri" w:cs="Calibri"/>
                <w:color w:val="000000"/>
                <w:sz w:val="22"/>
              </w:rPr>
            </w:pPr>
            <w:r w:rsidRPr="00203347">
              <w:rPr>
                <w:rFonts w:ascii="Tahoma" w:eastAsia="Tahoma" w:hAnsi="Tahoma" w:cs="Tahoma"/>
                <w:color w:val="000000"/>
                <w:sz w:val="15"/>
              </w:rPr>
              <w:t xml:space="preserve">Flunitrazepam (Schedule IV) </w:t>
            </w:r>
          </w:p>
        </w:tc>
        <w:tc>
          <w:tcPr>
            <w:tcW w:w="2030" w:type="dxa"/>
            <w:tcBorders>
              <w:top w:val="nil"/>
              <w:left w:val="single" w:sz="8" w:space="0" w:color="FFFFFF"/>
              <w:bottom w:val="single" w:sz="8" w:space="0" w:color="FFFFFF"/>
              <w:right w:val="single" w:sz="8" w:space="0" w:color="FFFFFF"/>
            </w:tcBorders>
            <w:shd w:val="clear" w:color="auto" w:fill="EEF7F8"/>
          </w:tcPr>
          <w:p w14:paraId="19FD6E23" w14:textId="77777777" w:rsidR="00203347" w:rsidRPr="00203347" w:rsidRDefault="00203347" w:rsidP="00203347">
            <w:pPr>
              <w:spacing w:line="259" w:lineRule="auto"/>
              <w:rPr>
                <w:rFonts w:ascii="Calibri" w:eastAsia="Calibri" w:hAnsi="Calibri" w:cs="Calibri"/>
                <w:color w:val="000000"/>
                <w:sz w:val="22"/>
              </w:rPr>
            </w:pPr>
            <w:r w:rsidRPr="00203347">
              <w:rPr>
                <w:rFonts w:ascii="Tahoma" w:eastAsia="Tahoma" w:hAnsi="Tahoma" w:cs="Tahoma"/>
                <w:color w:val="000000"/>
                <w:sz w:val="15"/>
              </w:rPr>
              <w:t xml:space="preserve">1 gram </w:t>
            </w:r>
          </w:p>
        </w:tc>
        <w:tc>
          <w:tcPr>
            <w:tcW w:w="5836" w:type="dxa"/>
            <w:gridSpan w:val="3"/>
            <w:tcBorders>
              <w:top w:val="nil"/>
              <w:left w:val="single" w:sz="8" w:space="0" w:color="FFFFFF"/>
              <w:bottom w:val="single" w:sz="8" w:space="0" w:color="FFFFFF"/>
              <w:right w:val="single" w:sz="8" w:space="0" w:color="FFFFFF"/>
            </w:tcBorders>
            <w:shd w:val="clear" w:color="auto" w:fill="EEF7F8"/>
          </w:tcPr>
          <w:p w14:paraId="2A76FEE5" w14:textId="77777777" w:rsidR="00203347" w:rsidRPr="00203347" w:rsidRDefault="00203347" w:rsidP="00203347">
            <w:pPr>
              <w:spacing w:line="259" w:lineRule="auto"/>
              <w:ind w:left="2"/>
              <w:rPr>
                <w:rFonts w:ascii="Calibri" w:eastAsia="Calibri" w:hAnsi="Calibri" w:cs="Calibri"/>
                <w:color w:val="000000"/>
                <w:sz w:val="22"/>
              </w:rPr>
            </w:pPr>
            <w:r w:rsidRPr="00203347">
              <w:rPr>
                <w:rFonts w:ascii="Tahoma" w:eastAsia="Tahoma" w:hAnsi="Tahoma" w:cs="Tahoma"/>
                <w:color w:val="000000"/>
                <w:sz w:val="15"/>
              </w:rPr>
              <w:t>imprisonment. Fine $2 million if an individual, $10 million if not an individual.</w:t>
            </w:r>
          </w:p>
        </w:tc>
      </w:tr>
      <w:tr w:rsidR="00203347" w:rsidRPr="00203347" w14:paraId="50660420" w14:textId="77777777" w:rsidTr="009F4130">
        <w:trPr>
          <w:trHeight w:val="1115"/>
        </w:trPr>
        <w:tc>
          <w:tcPr>
            <w:tcW w:w="2146" w:type="dxa"/>
            <w:tcBorders>
              <w:top w:val="single" w:sz="8" w:space="0" w:color="FFFFFF"/>
              <w:left w:val="single" w:sz="8" w:space="0" w:color="FFFFFF"/>
              <w:bottom w:val="single" w:sz="8" w:space="0" w:color="FFFFFF"/>
              <w:right w:val="single" w:sz="8" w:space="0" w:color="FFFFFF"/>
            </w:tcBorders>
            <w:shd w:val="clear" w:color="auto" w:fill="EEF7F8"/>
          </w:tcPr>
          <w:p w14:paraId="2D835D38" w14:textId="77777777" w:rsidR="00203347" w:rsidRPr="00203347" w:rsidRDefault="00203347" w:rsidP="00203347">
            <w:pPr>
              <w:spacing w:line="259" w:lineRule="auto"/>
              <w:ind w:left="1"/>
              <w:rPr>
                <w:rFonts w:ascii="Calibri" w:eastAsia="Calibri" w:hAnsi="Calibri" w:cs="Calibri"/>
                <w:color w:val="000000"/>
                <w:sz w:val="22"/>
              </w:rPr>
            </w:pPr>
            <w:r w:rsidRPr="00203347">
              <w:rPr>
                <w:rFonts w:ascii="Tahoma" w:eastAsia="Tahoma" w:hAnsi="Tahoma" w:cs="Tahoma"/>
                <w:color w:val="000000"/>
                <w:sz w:val="15"/>
              </w:rPr>
              <w:t xml:space="preserve">Other Schedule III drugs </w:t>
            </w:r>
          </w:p>
        </w:tc>
        <w:tc>
          <w:tcPr>
            <w:tcW w:w="2030" w:type="dxa"/>
            <w:tcBorders>
              <w:top w:val="single" w:sz="8" w:space="0" w:color="FFFFFF"/>
              <w:left w:val="single" w:sz="8" w:space="0" w:color="FFFFFF"/>
              <w:bottom w:val="single" w:sz="8" w:space="0" w:color="FFFFFF"/>
              <w:right w:val="single" w:sz="8" w:space="0" w:color="FFFFFF"/>
            </w:tcBorders>
            <w:shd w:val="clear" w:color="auto" w:fill="EEF7F8"/>
          </w:tcPr>
          <w:p w14:paraId="239BF9FF" w14:textId="77777777" w:rsidR="00203347" w:rsidRPr="00203347" w:rsidRDefault="00203347" w:rsidP="00203347">
            <w:pPr>
              <w:spacing w:line="259" w:lineRule="auto"/>
              <w:rPr>
                <w:rFonts w:ascii="Calibri" w:eastAsia="Calibri" w:hAnsi="Calibri" w:cs="Calibri"/>
                <w:color w:val="000000"/>
                <w:sz w:val="22"/>
              </w:rPr>
            </w:pPr>
            <w:r w:rsidRPr="00203347">
              <w:rPr>
                <w:rFonts w:ascii="Tahoma" w:eastAsia="Tahoma" w:hAnsi="Tahoma" w:cs="Tahoma"/>
                <w:color w:val="000000"/>
                <w:sz w:val="15"/>
              </w:rPr>
              <w:t>Any amount</w:t>
            </w:r>
          </w:p>
        </w:tc>
        <w:tc>
          <w:tcPr>
            <w:tcW w:w="5836" w:type="dxa"/>
            <w:gridSpan w:val="3"/>
            <w:tcBorders>
              <w:top w:val="single" w:sz="8" w:space="0" w:color="FFFFFF"/>
              <w:left w:val="single" w:sz="8" w:space="0" w:color="FFFFFF"/>
              <w:bottom w:val="single" w:sz="8" w:space="0" w:color="FFFFFF"/>
              <w:right w:val="single" w:sz="8" w:space="0" w:color="FFFFFF"/>
            </w:tcBorders>
            <w:shd w:val="clear" w:color="auto" w:fill="EEF7F8"/>
          </w:tcPr>
          <w:p w14:paraId="31D27E82" w14:textId="77777777" w:rsidR="00203347" w:rsidRPr="00203347" w:rsidRDefault="00203347" w:rsidP="00203347">
            <w:pPr>
              <w:spacing w:after="86" w:line="253" w:lineRule="auto"/>
              <w:ind w:left="1" w:right="12"/>
              <w:rPr>
                <w:rFonts w:ascii="Calibri" w:eastAsia="Calibri" w:hAnsi="Calibri" w:cs="Calibri"/>
                <w:color w:val="000000"/>
                <w:sz w:val="22"/>
              </w:rPr>
            </w:pPr>
            <w:r w:rsidRPr="00203347">
              <w:rPr>
                <w:rFonts w:ascii="Arial" w:eastAsia="Arial" w:hAnsi="Arial" w:cs="Arial"/>
                <w:b/>
                <w:color w:val="000000"/>
                <w:sz w:val="16"/>
              </w:rPr>
              <w:t xml:space="preserve">First Offense: </w:t>
            </w:r>
            <w:r w:rsidRPr="00203347">
              <w:rPr>
                <w:rFonts w:ascii="Tahoma" w:eastAsia="Tahoma" w:hAnsi="Tahoma" w:cs="Tahoma"/>
                <w:color w:val="000000"/>
                <w:sz w:val="15"/>
              </w:rPr>
              <w:t xml:space="preserve">Not more than 10 years. If death or serious injury, not more than 15 yrs. Fine not more than $500,000 if an individual, $2.5 million if not an individual. </w:t>
            </w:r>
          </w:p>
          <w:p w14:paraId="734C1704" w14:textId="77777777" w:rsidR="00203347" w:rsidRPr="00203347" w:rsidRDefault="00203347" w:rsidP="00203347">
            <w:pPr>
              <w:spacing w:line="259" w:lineRule="auto"/>
              <w:rPr>
                <w:rFonts w:ascii="Calibri" w:eastAsia="Calibri" w:hAnsi="Calibri" w:cs="Calibri"/>
                <w:color w:val="000000"/>
                <w:sz w:val="22"/>
              </w:rPr>
            </w:pPr>
            <w:r w:rsidRPr="00203347">
              <w:rPr>
                <w:rFonts w:ascii="Arial" w:eastAsia="Arial" w:hAnsi="Arial" w:cs="Arial"/>
                <w:b/>
                <w:color w:val="000000"/>
                <w:sz w:val="16"/>
              </w:rPr>
              <w:t xml:space="preserve">Second Offense: </w:t>
            </w:r>
            <w:r w:rsidRPr="00203347">
              <w:rPr>
                <w:rFonts w:ascii="Tahoma" w:eastAsia="Tahoma" w:hAnsi="Tahoma" w:cs="Tahoma"/>
                <w:color w:val="000000"/>
                <w:sz w:val="15"/>
              </w:rPr>
              <w:t xml:space="preserve">Not more than 20 yrs. If death or serious injury, not more than </w:t>
            </w:r>
          </w:p>
          <w:p w14:paraId="491BF3D5" w14:textId="77777777" w:rsidR="00203347" w:rsidRPr="00203347" w:rsidRDefault="00203347" w:rsidP="00203347">
            <w:pPr>
              <w:spacing w:line="259" w:lineRule="auto"/>
              <w:rPr>
                <w:rFonts w:ascii="Calibri" w:eastAsia="Calibri" w:hAnsi="Calibri" w:cs="Calibri"/>
                <w:color w:val="000000"/>
                <w:sz w:val="22"/>
              </w:rPr>
            </w:pPr>
            <w:r w:rsidRPr="00203347">
              <w:rPr>
                <w:rFonts w:ascii="Tahoma" w:eastAsia="Tahoma" w:hAnsi="Tahoma" w:cs="Tahoma"/>
                <w:color w:val="000000"/>
                <w:sz w:val="15"/>
              </w:rPr>
              <w:t xml:space="preserve">30 yrs. Fine not more than $1 million if an individual, $5 million if not an individual. </w:t>
            </w:r>
          </w:p>
        </w:tc>
      </w:tr>
      <w:tr w:rsidR="00203347" w:rsidRPr="00203347" w14:paraId="260374CA" w14:textId="77777777" w:rsidTr="009F4130">
        <w:trPr>
          <w:trHeight w:val="275"/>
        </w:trPr>
        <w:tc>
          <w:tcPr>
            <w:tcW w:w="2146" w:type="dxa"/>
            <w:tcBorders>
              <w:top w:val="single" w:sz="8" w:space="0" w:color="FFFFFF"/>
              <w:left w:val="single" w:sz="8" w:space="0" w:color="FFFFFF"/>
              <w:bottom w:val="single" w:sz="8" w:space="0" w:color="FFFFFF"/>
              <w:right w:val="single" w:sz="8" w:space="0" w:color="FFFFFF"/>
            </w:tcBorders>
            <w:shd w:val="clear" w:color="auto" w:fill="EEF7F8"/>
          </w:tcPr>
          <w:p w14:paraId="74B91FFB" w14:textId="77777777" w:rsidR="00203347" w:rsidRPr="00203347" w:rsidRDefault="00203347" w:rsidP="00203347">
            <w:pPr>
              <w:spacing w:line="259" w:lineRule="auto"/>
              <w:ind w:right="49"/>
              <w:jc w:val="right"/>
              <w:rPr>
                <w:rFonts w:ascii="Calibri" w:eastAsia="Calibri" w:hAnsi="Calibri" w:cs="Calibri"/>
                <w:color w:val="000000"/>
                <w:sz w:val="22"/>
              </w:rPr>
            </w:pPr>
            <w:r w:rsidRPr="00203347">
              <w:rPr>
                <w:rFonts w:ascii="Tahoma" w:eastAsia="Tahoma" w:hAnsi="Tahoma" w:cs="Tahoma"/>
                <w:color w:val="000000"/>
                <w:sz w:val="15"/>
              </w:rPr>
              <w:lastRenderedPageBreak/>
              <w:t xml:space="preserve">All other Schedule IV drugs </w:t>
            </w:r>
          </w:p>
        </w:tc>
        <w:tc>
          <w:tcPr>
            <w:tcW w:w="2030" w:type="dxa"/>
            <w:tcBorders>
              <w:top w:val="single" w:sz="8" w:space="0" w:color="FFFFFF"/>
              <w:left w:val="single" w:sz="8" w:space="0" w:color="FFFFFF"/>
              <w:bottom w:val="single" w:sz="8" w:space="0" w:color="FFFFFF"/>
              <w:right w:val="single" w:sz="8" w:space="0" w:color="FFFFFF"/>
            </w:tcBorders>
            <w:shd w:val="clear" w:color="auto" w:fill="EEF7F8"/>
          </w:tcPr>
          <w:p w14:paraId="7D0CD0A6" w14:textId="77777777" w:rsidR="00203347" w:rsidRPr="00203347" w:rsidRDefault="00203347" w:rsidP="00203347">
            <w:pPr>
              <w:spacing w:line="259" w:lineRule="auto"/>
              <w:rPr>
                <w:rFonts w:ascii="Calibri" w:eastAsia="Calibri" w:hAnsi="Calibri" w:cs="Calibri"/>
                <w:color w:val="000000"/>
                <w:sz w:val="22"/>
              </w:rPr>
            </w:pPr>
            <w:r w:rsidRPr="00203347">
              <w:rPr>
                <w:rFonts w:ascii="Tahoma" w:eastAsia="Tahoma" w:hAnsi="Tahoma" w:cs="Tahoma"/>
                <w:color w:val="000000"/>
                <w:sz w:val="15"/>
              </w:rPr>
              <w:t>Any amount</w:t>
            </w:r>
          </w:p>
        </w:tc>
        <w:tc>
          <w:tcPr>
            <w:tcW w:w="5836" w:type="dxa"/>
            <w:gridSpan w:val="3"/>
            <w:vMerge w:val="restart"/>
            <w:tcBorders>
              <w:top w:val="single" w:sz="8" w:space="0" w:color="FFFFFF"/>
              <w:left w:val="single" w:sz="8" w:space="0" w:color="FFFFFF"/>
              <w:bottom w:val="single" w:sz="8" w:space="0" w:color="FFFFFF"/>
              <w:right w:val="single" w:sz="8" w:space="0" w:color="FFFFFF"/>
            </w:tcBorders>
            <w:shd w:val="clear" w:color="auto" w:fill="EEF7F8"/>
          </w:tcPr>
          <w:p w14:paraId="6FAD62DE" w14:textId="77777777" w:rsidR="00203347" w:rsidRPr="00203347" w:rsidRDefault="00203347" w:rsidP="00203347">
            <w:pPr>
              <w:spacing w:after="90"/>
              <w:ind w:left="1" w:right="226" w:hanging="1"/>
              <w:jc w:val="both"/>
              <w:rPr>
                <w:rFonts w:ascii="Calibri" w:eastAsia="Calibri" w:hAnsi="Calibri" w:cs="Calibri"/>
                <w:color w:val="000000"/>
                <w:sz w:val="22"/>
              </w:rPr>
            </w:pPr>
            <w:r w:rsidRPr="00203347">
              <w:rPr>
                <w:rFonts w:ascii="Arial" w:eastAsia="Arial" w:hAnsi="Arial" w:cs="Arial"/>
                <w:b/>
                <w:color w:val="000000"/>
                <w:sz w:val="16"/>
              </w:rPr>
              <w:t xml:space="preserve">First Offense: </w:t>
            </w:r>
            <w:r w:rsidRPr="00203347">
              <w:rPr>
                <w:rFonts w:ascii="Tahoma" w:eastAsia="Tahoma" w:hAnsi="Tahoma" w:cs="Tahoma"/>
                <w:color w:val="000000"/>
                <w:sz w:val="15"/>
              </w:rPr>
              <w:t xml:space="preserve">Not more than 5 yrs. Fine not more than $250,000 if an individual, $1 million if not an individual. </w:t>
            </w:r>
          </w:p>
          <w:p w14:paraId="69B6D482" w14:textId="77777777" w:rsidR="00203347" w:rsidRPr="00203347" w:rsidRDefault="00203347" w:rsidP="00203347">
            <w:pPr>
              <w:spacing w:line="259" w:lineRule="auto"/>
              <w:jc w:val="both"/>
              <w:rPr>
                <w:rFonts w:ascii="Calibri" w:eastAsia="Calibri" w:hAnsi="Calibri" w:cs="Calibri"/>
                <w:color w:val="000000"/>
                <w:sz w:val="22"/>
              </w:rPr>
            </w:pPr>
            <w:r w:rsidRPr="00203347">
              <w:rPr>
                <w:rFonts w:ascii="Arial" w:eastAsia="Arial" w:hAnsi="Arial" w:cs="Arial"/>
                <w:b/>
                <w:color w:val="000000"/>
                <w:sz w:val="16"/>
              </w:rPr>
              <w:t xml:space="preserve">Second Offense: </w:t>
            </w:r>
            <w:r w:rsidRPr="00203347">
              <w:rPr>
                <w:rFonts w:ascii="Tahoma" w:eastAsia="Tahoma" w:hAnsi="Tahoma" w:cs="Tahoma"/>
                <w:color w:val="000000"/>
                <w:sz w:val="15"/>
              </w:rPr>
              <w:t xml:space="preserve">Not more than 10 yrs. Fine not more than $500,000 if an individual, $2 million if other than an individual. </w:t>
            </w:r>
          </w:p>
        </w:tc>
      </w:tr>
      <w:tr w:rsidR="00203347" w:rsidRPr="00203347" w14:paraId="590002F9" w14:textId="77777777" w:rsidTr="009F4130">
        <w:trPr>
          <w:trHeight w:val="640"/>
        </w:trPr>
        <w:tc>
          <w:tcPr>
            <w:tcW w:w="2146" w:type="dxa"/>
            <w:tcBorders>
              <w:top w:val="single" w:sz="8" w:space="0" w:color="FFFFFF"/>
              <w:left w:val="single" w:sz="8" w:space="0" w:color="FFFFFF"/>
              <w:bottom w:val="single" w:sz="8" w:space="0" w:color="FFFFFF"/>
              <w:right w:val="single" w:sz="8" w:space="0" w:color="FFFFFF"/>
            </w:tcBorders>
            <w:shd w:val="clear" w:color="auto" w:fill="EEF7F8"/>
          </w:tcPr>
          <w:p w14:paraId="6DA442FF" w14:textId="77777777" w:rsidR="00203347" w:rsidRPr="00203347" w:rsidRDefault="00203347" w:rsidP="00203347">
            <w:pPr>
              <w:spacing w:line="259" w:lineRule="auto"/>
              <w:ind w:right="69"/>
              <w:jc w:val="center"/>
              <w:rPr>
                <w:rFonts w:ascii="Calibri" w:eastAsia="Calibri" w:hAnsi="Calibri" w:cs="Calibri"/>
                <w:color w:val="000000"/>
                <w:sz w:val="22"/>
              </w:rPr>
            </w:pPr>
            <w:r w:rsidRPr="00203347">
              <w:rPr>
                <w:rFonts w:ascii="Tahoma" w:eastAsia="Tahoma" w:hAnsi="Tahoma" w:cs="Tahoma"/>
                <w:color w:val="000000"/>
                <w:sz w:val="15"/>
              </w:rPr>
              <w:t xml:space="preserve">Flunitrazepam (Schedule IV) </w:t>
            </w:r>
          </w:p>
        </w:tc>
        <w:tc>
          <w:tcPr>
            <w:tcW w:w="2030" w:type="dxa"/>
            <w:tcBorders>
              <w:top w:val="single" w:sz="8" w:space="0" w:color="FFFFFF"/>
              <w:left w:val="single" w:sz="8" w:space="0" w:color="FFFFFF"/>
              <w:bottom w:val="single" w:sz="8" w:space="0" w:color="FFFFFF"/>
              <w:right w:val="single" w:sz="8" w:space="0" w:color="FFFFFF"/>
            </w:tcBorders>
            <w:shd w:val="clear" w:color="auto" w:fill="EEF7F8"/>
          </w:tcPr>
          <w:p w14:paraId="51AB13C4" w14:textId="77777777" w:rsidR="00203347" w:rsidRPr="00203347" w:rsidRDefault="00203347" w:rsidP="00203347">
            <w:pPr>
              <w:spacing w:line="259" w:lineRule="auto"/>
              <w:rPr>
                <w:rFonts w:ascii="Calibri" w:eastAsia="Calibri" w:hAnsi="Calibri" w:cs="Calibri"/>
                <w:color w:val="000000"/>
                <w:sz w:val="22"/>
              </w:rPr>
            </w:pPr>
            <w:r w:rsidRPr="00203347">
              <w:rPr>
                <w:rFonts w:ascii="Tahoma" w:eastAsia="Tahoma" w:hAnsi="Tahoma" w:cs="Tahoma"/>
                <w:color w:val="000000"/>
                <w:sz w:val="15"/>
              </w:rPr>
              <w:t xml:space="preserve">Other than 1 gram or more </w:t>
            </w:r>
          </w:p>
        </w:tc>
        <w:tc>
          <w:tcPr>
            <w:tcW w:w="0" w:type="auto"/>
            <w:gridSpan w:val="3"/>
            <w:vMerge/>
            <w:tcBorders>
              <w:top w:val="nil"/>
              <w:left w:val="single" w:sz="8" w:space="0" w:color="FFFFFF"/>
              <w:bottom w:val="single" w:sz="8" w:space="0" w:color="FFFFFF"/>
              <w:right w:val="single" w:sz="8" w:space="0" w:color="FFFFFF"/>
            </w:tcBorders>
          </w:tcPr>
          <w:p w14:paraId="2B222C08" w14:textId="77777777" w:rsidR="00203347" w:rsidRPr="00203347" w:rsidRDefault="00203347" w:rsidP="00203347">
            <w:pPr>
              <w:spacing w:line="259" w:lineRule="auto"/>
              <w:rPr>
                <w:rFonts w:ascii="Calibri" w:eastAsia="Calibri" w:hAnsi="Calibri" w:cs="Calibri"/>
                <w:color w:val="000000"/>
                <w:sz w:val="22"/>
              </w:rPr>
            </w:pPr>
          </w:p>
        </w:tc>
      </w:tr>
      <w:tr w:rsidR="00203347" w:rsidRPr="00203347" w14:paraId="55AC8154" w14:textId="77777777" w:rsidTr="009F4130">
        <w:trPr>
          <w:trHeight w:val="893"/>
        </w:trPr>
        <w:tc>
          <w:tcPr>
            <w:tcW w:w="2146" w:type="dxa"/>
            <w:tcBorders>
              <w:top w:val="single" w:sz="8" w:space="0" w:color="FFFFFF"/>
              <w:left w:val="single" w:sz="8" w:space="0" w:color="FFFFFF"/>
              <w:bottom w:val="single" w:sz="8" w:space="0" w:color="FFFFFF"/>
              <w:right w:val="single" w:sz="8" w:space="0" w:color="FFFFFF"/>
            </w:tcBorders>
            <w:shd w:val="clear" w:color="auto" w:fill="EEF7F8"/>
          </w:tcPr>
          <w:p w14:paraId="707F0304" w14:textId="77777777" w:rsidR="00203347" w:rsidRPr="00203347" w:rsidRDefault="00203347" w:rsidP="00203347">
            <w:pPr>
              <w:spacing w:line="259" w:lineRule="auto"/>
              <w:rPr>
                <w:rFonts w:ascii="Calibri" w:eastAsia="Calibri" w:hAnsi="Calibri" w:cs="Calibri"/>
                <w:color w:val="000000"/>
                <w:sz w:val="22"/>
              </w:rPr>
            </w:pPr>
            <w:r w:rsidRPr="00203347">
              <w:rPr>
                <w:rFonts w:ascii="Tahoma" w:eastAsia="Tahoma" w:hAnsi="Tahoma" w:cs="Tahoma"/>
                <w:color w:val="000000"/>
                <w:sz w:val="15"/>
              </w:rPr>
              <w:t>All Schedule V drugs</w:t>
            </w:r>
          </w:p>
        </w:tc>
        <w:tc>
          <w:tcPr>
            <w:tcW w:w="2030" w:type="dxa"/>
            <w:tcBorders>
              <w:top w:val="single" w:sz="8" w:space="0" w:color="FFFFFF"/>
              <w:left w:val="single" w:sz="8" w:space="0" w:color="FFFFFF"/>
              <w:bottom w:val="single" w:sz="8" w:space="0" w:color="FFFFFF"/>
              <w:right w:val="single" w:sz="8" w:space="0" w:color="FFFFFF"/>
            </w:tcBorders>
            <w:shd w:val="clear" w:color="auto" w:fill="EEF7F8"/>
          </w:tcPr>
          <w:p w14:paraId="53A39442" w14:textId="77777777" w:rsidR="00203347" w:rsidRPr="00203347" w:rsidRDefault="00203347" w:rsidP="00203347">
            <w:pPr>
              <w:spacing w:line="259" w:lineRule="auto"/>
              <w:rPr>
                <w:rFonts w:ascii="Calibri" w:eastAsia="Calibri" w:hAnsi="Calibri" w:cs="Calibri"/>
                <w:color w:val="000000"/>
                <w:sz w:val="22"/>
              </w:rPr>
            </w:pPr>
            <w:r w:rsidRPr="00203347">
              <w:rPr>
                <w:rFonts w:ascii="Tahoma" w:eastAsia="Tahoma" w:hAnsi="Tahoma" w:cs="Tahoma"/>
                <w:color w:val="000000"/>
                <w:sz w:val="15"/>
              </w:rPr>
              <w:t>Any amount</w:t>
            </w:r>
          </w:p>
        </w:tc>
        <w:tc>
          <w:tcPr>
            <w:tcW w:w="5836" w:type="dxa"/>
            <w:gridSpan w:val="3"/>
            <w:tcBorders>
              <w:top w:val="single" w:sz="8" w:space="0" w:color="FFFFFF"/>
              <w:left w:val="single" w:sz="8" w:space="0" w:color="FFFFFF"/>
              <w:bottom w:val="single" w:sz="8" w:space="0" w:color="FFFFFF"/>
              <w:right w:val="single" w:sz="8" w:space="0" w:color="FFFFFF"/>
            </w:tcBorders>
            <w:shd w:val="clear" w:color="auto" w:fill="EEF7F8"/>
          </w:tcPr>
          <w:p w14:paraId="457B7FB8" w14:textId="77777777" w:rsidR="00203347" w:rsidRPr="00203347" w:rsidRDefault="00203347" w:rsidP="00203347">
            <w:pPr>
              <w:spacing w:line="270" w:lineRule="auto"/>
              <w:ind w:firstLine="1"/>
              <w:rPr>
                <w:rFonts w:ascii="Calibri" w:eastAsia="Calibri" w:hAnsi="Calibri" w:cs="Calibri"/>
                <w:color w:val="000000"/>
                <w:sz w:val="22"/>
              </w:rPr>
            </w:pPr>
            <w:r w:rsidRPr="00203347">
              <w:rPr>
                <w:rFonts w:ascii="Arial" w:eastAsia="Arial" w:hAnsi="Arial" w:cs="Arial"/>
                <w:b/>
                <w:color w:val="000000"/>
                <w:sz w:val="16"/>
              </w:rPr>
              <w:t xml:space="preserve">First Offense: </w:t>
            </w:r>
            <w:r w:rsidRPr="00203347">
              <w:rPr>
                <w:rFonts w:ascii="Tahoma" w:eastAsia="Tahoma" w:hAnsi="Tahoma" w:cs="Tahoma"/>
                <w:color w:val="000000"/>
                <w:sz w:val="15"/>
              </w:rPr>
              <w:t xml:space="preserve">Not more than 1 yr. Fine not more than $100,000 if an individual, $250,000 if not an individual. </w:t>
            </w:r>
          </w:p>
          <w:p w14:paraId="2DDF8438" w14:textId="77777777" w:rsidR="00203347" w:rsidRPr="00203347" w:rsidRDefault="00203347" w:rsidP="00203347">
            <w:pPr>
              <w:spacing w:line="259" w:lineRule="auto"/>
              <w:ind w:left="1"/>
              <w:rPr>
                <w:rFonts w:ascii="Tahoma" w:eastAsia="Tahoma" w:hAnsi="Tahoma" w:cs="Tahoma"/>
                <w:color w:val="000000"/>
                <w:sz w:val="15"/>
              </w:rPr>
            </w:pPr>
            <w:r w:rsidRPr="00203347">
              <w:rPr>
                <w:rFonts w:ascii="Arial" w:eastAsia="Arial" w:hAnsi="Arial" w:cs="Arial"/>
                <w:b/>
                <w:color w:val="000000"/>
                <w:sz w:val="16"/>
              </w:rPr>
              <w:t xml:space="preserve">Second Offense: </w:t>
            </w:r>
            <w:r w:rsidRPr="00203347">
              <w:rPr>
                <w:rFonts w:ascii="Tahoma" w:eastAsia="Tahoma" w:hAnsi="Tahoma" w:cs="Tahoma"/>
                <w:color w:val="000000"/>
                <w:sz w:val="15"/>
              </w:rPr>
              <w:t>Not more than 4 yrs. Fine not more than $200,000 if an individual, $500,000 if not an individual.</w:t>
            </w:r>
          </w:p>
          <w:p w14:paraId="72E03208" w14:textId="77777777" w:rsidR="00203347" w:rsidRPr="00203347" w:rsidRDefault="00203347" w:rsidP="00203347">
            <w:pPr>
              <w:spacing w:line="259" w:lineRule="auto"/>
              <w:ind w:left="1"/>
              <w:rPr>
                <w:rFonts w:ascii="Calibri" w:eastAsia="Calibri" w:hAnsi="Calibri" w:cs="Calibri"/>
                <w:color w:val="000000"/>
                <w:sz w:val="22"/>
              </w:rPr>
            </w:pPr>
          </w:p>
          <w:p w14:paraId="1DEC4702" w14:textId="77777777" w:rsidR="00203347" w:rsidRPr="00203347" w:rsidRDefault="00203347" w:rsidP="00203347">
            <w:pPr>
              <w:spacing w:line="259" w:lineRule="auto"/>
              <w:ind w:left="1"/>
              <w:rPr>
                <w:rFonts w:ascii="Calibri" w:eastAsia="Calibri" w:hAnsi="Calibri" w:cs="Calibri"/>
                <w:color w:val="000000"/>
                <w:sz w:val="22"/>
              </w:rPr>
            </w:pPr>
          </w:p>
          <w:p w14:paraId="0C6CD300" w14:textId="77777777" w:rsidR="00203347" w:rsidRPr="00203347" w:rsidRDefault="00203347" w:rsidP="00203347">
            <w:pPr>
              <w:spacing w:line="259" w:lineRule="auto"/>
              <w:ind w:left="1"/>
              <w:rPr>
                <w:rFonts w:ascii="Calibri" w:eastAsia="Calibri" w:hAnsi="Calibri" w:cs="Calibri"/>
                <w:color w:val="000000"/>
                <w:sz w:val="22"/>
              </w:rPr>
            </w:pPr>
          </w:p>
          <w:p w14:paraId="45E74E1D" w14:textId="77777777" w:rsidR="00203347" w:rsidRPr="00203347" w:rsidRDefault="00203347" w:rsidP="00203347">
            <w:pPr>
              <w:spacing w:line="259" w:lineRule="auto"/>
              <w:ind w:left="1"/>
              <w:rPr>
                <w:rFonts w:ascii="Calibri" w:eastAsia="Calibri" w:hAnsi="Calibri" w:cs="Calibri"/>
                <w:color w:val="000000"/>
                <w:sz w:val="22"/>
              </w:rPr>
            </w:pPr>
          </w:p>
        </w:tc>
      </w:tr>
    </w:tbl>
    <w:p w14:paraId="55EA68B4" w14:textId="77777777" w:rsidR="00203347" w:rsidRPr="00203347" w:rsidRDefault="00203347" w:rsidP="00203347">
      <w:pPr>
        <w:spacing w:before="0" w:after="0" w:line="259" w:lineRule="auto"/>
        <w:rPr>
          <w:rFonts w:ascii="Calibri" w:eastAsia="Calibri" w:hAnsi="Calibri" w:cs="Calibri"/>
          <w:color w:val="000000"/>
          <w:kern w:val="2"/>
          <w:sz w:val="22"/>
          <w:lang w:eastAsia="en-US"/>
          <w14:ligatures w14:val="standardContextual"/>
        </w:rPr>
      </w:pPr>
      <w:r w:rsidRPr="00203347">
        <w:rPr>
          <w:rFonts w:ascii="Times New Roman" w:eastAsia="Times New Roman" w:hAnsi="Times New Roman" w:cs="Times New Roman"/>
          <w:color w:val="000000"/>
          <w:kern w:val="2"/>
          <w:sz w:val="20"/>
          <w:lang w:eastAsia="en-US"/>
          <w14:ligatures w14:val="standardContextual"/>
        </w:rPr>
        <w:t xml:space="preserve">38   </w:t>
      </w:r>
      <w:r w:rsidRPr="00203347">
        <w:rPr>
          <w:rFonts w:ascii="Times New Roman" w:eastAsia="Times New Roman" w:hAnsi="Times New Roman" w:cs="Times New Roman"/>
          <w:b/>
          <w:color w:val="000000"/>
          <w:kern w:val="2"/>
          <w:sz w:val="20"/>
          <w:lang w:eastAsia="en-US"/>
          <w14:ligatures w14:val="standardContextual"/>
        </w:rPr>
        <w:t xml:space="preserve">Drugs of Abuse | </w:t>
      </w:r>
      <w:r w:rsidRPr="00203347">
        <w:rPr>
          <w:rFonts w:ascii="Times New Roman" w:eastAsia="Times New Roman" w:hAnsi="Times New Roman" w:cs="Times New Roman"/>
          <w:i/>
          <w:color w:val="000000"/>
          <w:kern w:val="2"/>
          <w:sz w:val="20"/>
          <w:lang w:eastAsia="en-US"/>
          <w14:ligatures w14:val="standardContextual"/>
        </w:rPr>
        <w:t xml:space="preserve">A DEA Resource Guide: </w:t>
      </w:r>
      <w:r w:rsidRPr="00203347">
        <w:rPr>
          <w:rFonts w:ascii="Times New Roman" w:eastAsia="Times New Roman" w:hAnsi="Times New Roman" w:cs="Times New Roman"/>
          <w:color w:val="000000"/>
          <w:kern w:val="2"/>
          <w:sz w:val="20"/>
          <w:lang w:eastAsia="en-US"/>
          <w14:ligatures w14:val="standardContextual"/>
        </w:rPr>
        <w:t>2022 EDITION</w:t>
      </w:r>
    </w:p>
    <w:p w14:paraId="1CBF9E87" w14:textId="77777777" w:rsidR="00203347" w:rsidRPr="00203347" w:rsidRDefault="00203347" w:rsidP="00203347">
      <w:pPr>
        <w:spacing w:before="0" w:after="0" w:line="259" w:lineRule="auto"/>
        <w:ind w:left="99"/>
        <w:jc w:val="center"/>
        <w:rPr>
          <w:rFonts w:ascii="Calibri" w:eastAsia="Calibri" w:hAnsi="Calibri" w:cs="Calibri"/>
          <w:color w:val="000000"/>
          <w:kern w:val="2"/>
          <w:sz w:val="22"/>
          <w:lang w:eastAsia="en-US"/>
          <w14:ligatures w14:val="standardContextual"/>
        </w:rPr>
      </w:pPr>
      <w:r w:rsidRPr="00203347">
        <w:rPr>
          <w:rFonts w:ascii="Calibri" w:eastAsia="Calibri" w:hAnsi="Calibri" w:cs="Calibri"/>
          <w:noProof/>
          <w:color w:val="000000"/>
          <w:kern w:val="2"/>
          <w:sz w:val="22"/>
          <w:lang w:eastAsia="en-US"/>
          <w14:ligatures w14:val="standardContextual"/>
        </w:rPr>
        <mc:AlternateContent>
          <mc:Choice Requires="wpg">
            <w:drawing>
              <wp:anchor distT="0" distB="0" distL="114300" distR="114300" simplePos="0" relativeHeight="251684864" behindDoc="0" locked="0" layoutInCell="1" allowOverlap="1" wp14:anchorId="39F12720" wp14:editId="7A40418A">
                <wp:simplePos x="0" y="0"/>
                <wp:positionH relativeFrom="page">
                  <wp:posOffset>0</wp:posOffset>
                </wp:positionH>
                <wp:positionV relativeFrom="page">
                  <wp:posOffset>0</wp:posOffset>
                </wp:positionV>
                <wp:extent cx="7772400" cy="736346"/>
                <wp:effectExtent l="95250" t="57150" r="0" b="6985"/>
                <wp:wrapTopAndBottom/>
                <wp:docPr id="5134" name="Group 5134"/>
                <wp:cNvGraphicFramePr/>
                <a:graphic xmlns:a="http://schemas.openxmlformats.org/drawingml/2006/main">
                  <a:graphicData uri="http://schemas.microsoft.com/office/word/2010/wordprocessingGroup">
                    <wpg:wgp>
                      <wpg:cNvGrpSpPr/>
                      <wpg:grpSpPr>
                        <a:xfrm>
                          <a:off x="0" y="0"/>
                          <a:ext cx="7772400" cy="736346"/>
                          <a:chOff x="0" y="0"/>
                          <a:chExt cx="7772400" cy="736346"/>
                        </a:xfrm>
                        <a:solidFill>
                          <a:schemeClr val="accent1">
                            <a:lumMod val="40000"/>
                            <a:lumOff val="60000"/>
                          </a:schemeClr>
                        </a:solidFill>
                      </wpg:grpSpPr>
                      <wps:wsp>
                        <wps:cNvPr id="6080" name="Shape 6080"/>
                        <wps:cNvSpPr/>
                        <wps:spPr>
                          <a:xfrm>
                            <a:off x="0" y="0"/>
                            <a:ext cx="7772400" cy="736346"/>
                          </a:xfrm>
                          <a:custGeom>
                            <a:avLst/>
                            <a:gdLst/>
                            <a:ahLst/>
                            <a:cxnLst/>
                            <a:rect l="0" t="0" r="0" b="0"/>
                            <a:pathLst>
                              <a:path w="7772400" h="736346">
                                <a:moveTo>
                                  <a:pt x="0" y="0"/>
                                </a:moveTo>
                                <a:lnTo>
                                  <a:pt x="7772400" y="0"/>
                                </a:lnTo>
                                <a:lnTo>
                                  <a:pt x="7772400" y="736346"/>
                                </a:lnTo>
                                <a:lnTo>
                                  <a:pt x="0" y="736346"/>
                                </a:lnTo>
                                <a:lnTo>
                                  <a:pt x="0" y="0"/>
                                </a:lnTo>
                              </a:path>
                            </a:pathLst>
                          </a:custGeom>
                          <a:grpFill/>
                          <a:ln w="0" cap="flat">
                            <a:noFill/>
                            <a:miter lim="127000"/>
                          </a:ln>
                          <a:effectLst/>
                        </wps:spPr>
                        <wps:bodyPr/>
                      </wps:wsp>
                    </wpg:wgp>
                  </a:graphicData>
                </a:graphic>
              </wp:anchor>
            </w:drawing>
          </mc:Choice>
          <mc:Fallback>
            <w:pict>
              <v:group w14:anchorId="6EC9E466" id="Group 5134" o:spid="_x0000_s1026" style="position:absolute;margin-left:0;margin-top:0;width:612pt;height:58pt;z-index:251684864;mso-position-horizontal-relative:page;mso-position-vertical-relative:page" coordsize="77724,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">
                <v:shape id="Shape 6080" o:spid="_x0000_s1027" style="position:absolute;width:77724;height:7363;visibility:visible;mso-wrap-style:square;v-text-anchor:top" coordsize="7772400,73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" path="m,l7772400,r,736346l,736346,,e" filled="f" stroked="f" strokeweight="0">
                  <v:stroke miterlimit="83231f" joinstyle="miter"/>
                  <v:path arrowok="t" textboxrect="0,0,7772400,736346"/>
                </v:shape>
                <w10:wrap type="topAndBottom" anchorx="page" anchory="page"/>
              </v:group>
            </w:pict>
          </mc:Fallback>
        </mc:AlternateContent>
      </w:r>
      <w:r w:rsidRPr="00203347">
        <w:rPr>
          <w:rFonts w:ascii="Arial" w:eastAsia="Arial" w:hAnsi="Arial" w:cs="Arial"/>
          <w:b/>
          <w:color w:val="006F6B"/>
          <w:kern w:val="2"/>
          <w:sz w:val="30"/>
          <w:lang w:eastAsia="en-US"/>
          <w14:ligatures w14:val="standardContextual"/>
        </w:rPr>
        <w:t xml:space="preserve">FEDERAL TRAFFICKING PENALTIES—MARIJUANA </w:t>
      </w:r>
    </w:p>
    <w:tbl>
      <w:tblPr>
        <w:tblStyle w:val="TableGrid0"/>
        <w:tblW w:w="9991" w:type="dxa"/>
        <w:tblInd w:w="100" w:type="dxa"/>
        <w:tblCellMar>
          <w:top w:w="70" w:type="dxa"/>
          <w:left w:w="90" w:type="dxa"/>
          <w:right w:w="41" w:type="dxa"/>
        </w:tblCellMar>
        <w:tblLook w:val="04A0" w:firstRow="1" w:lastRow="0" w:firstColumn="1" w:lastColumn="0" w:noHBand="0" w:noVBand="1"/>
      </w:tblPr>
      <w:tblGrid>
        <w:gridCol w:w="1932"/>
        <w:gridCol w:w="2767"/>
        <w:gridCol w:w="2627"/>
        <w:gridCol w:w="2665"/>
      </w:tblGrid>
      <w:tr w:rsidR="00203347" w:rsidRPr="00203347" w14:paraId="0DB1E867" w14:textId="77777777" w:rsidTr="009F4130">
        <w:trPr>
          <w:trHeight w:val="514"/>
        </w:trPr>
        <w:tc>
          <w:tcPr>
            <w:tcW w:w="1932" w:type="dxa"/>
            <w:tcBorders>
              <w:top w:val="single" w:sz="8" w:space="0" w:color="FFFFFF"/>
              <w:left w:val="single" w:sz="8" w:space="0" w:color="FFFFFF"/>
              <w:bottom w:val="single" w:sz="8" w:space="0" w:color="FFFFFF"/>
              <w:right w:val="single" w:sz="8" w:space="0" w:color="FFFFFF"/>
            </w:tcBorders>
            <w:shd w:val="clear" w:color="auto" w:fill="CCCABB"/>
            <w:vAlign w:val="center"/>
          </w:tcPr>
          <w:p w14:paraId="7E317269" w14:textId="77777777" w:rsidR="00203347" w:rsidRPr="00203347" w:rsidRDefault="00203347" w:rsidP="00203347">
            <w:pPr>
              <w:spacing w:line="259" w:lineRule="auto"/>
              <w:ind w:right="49"/>
              <w:jc w:val="center"/>
              <w:rPr>
                <w:rFonts w:ascii="Calibri" w:eastAsia="Calibri" w:hAnsi="Calibri" w:cs="Calibri"/>
                <w:color w:val="000000"/>
                <w:sz w:val="22"/>
              </w:rPr>
            </w:pPr>
            <w:r w:rsidRPr="00203347">
              <w:rPr>
                <w:rFonts w:ascii="Calibri" w:eastAsia="Calibri" w:hAnsi="Calibri" w:cs="Calibri"/>
                <w:color w:val="000000"/>
                <w:sz w:val="18"/>
              </w:rPr>
              <w:t>DRUG</w:t>
            </w:r>
          </w:p>
        </w:tc>
        <w:tc>
          <w:tcPr>
            <w:tcW w:w="2767" w:type="dxa"/>
            <w:tcBorders>
              <w:top w:val="single" w:sz="8" w:space="0" w:color="FFFFFF"/>
              <w:left w:val="single" w:sz="8" w:space="0" w:color="FFFFFF"/>
              <w:bottom w:val="single" w:sz="8" w:space="0" w:color="FFFFFF"/>
              <w:right w:val="single" w:sz="8" w:space="0" w:color="FFFFFF"/>
            </w:tcBorders>
            <w:shd w:val="clear" w:color="auto" w:fill="CCCABB"/>
            <w:vAlign w:val="center"/>
          </w:tcPr>
          <w:p w14:paraId="49FF3063" w14:textId="77777777" w:rsidR="00203347" w:rsidRPr="00203347" w:rsidRDefault="00203347" w:rsidP="00203347">
            <w:pPr>
              <w:spacing w:line="259" w:lineRule="auto"/>
              <w:ind w:right="46"/>
              <w:jc w:val="center"/>
              <w:rPr>
                <w:rFonts w:ascii="Calibri" w:eastAsia="Calibri" w:hAnsi="Calibri" w:cs="Calibri"/>
                <w:color w:val="000000"/>
                <w:sz w:val="22"/>
              </w:rPr>
            </w:pPr>
            <w:r w:rsidRPr="00203347">
              <w:rPr>
                <w:rFonts w:ascii="Arial" w:eastAsia="Arial" w:hAnsi="Arial" w:cs="Arial"/>
                <w:color w:val="000000"/>
                <w:sz w:val="18"/>
              </w:rPr>
              <w:t>QUANTITY</w:t>
            </w:r>
          </w:p>
        </w:tc>
        <w:tc>
          <w:tcPr>
            <w:tcW w:w="2627" w:type="dxa"/>
            <w:tcBorders>
              <w:top w:val="single" w:sz="8" w:space="0" w:color="FFFFFF"/>
              <w:left w:val="single" w:sz="8" w:space="0" w:color="FFFFFF"/>
              <w:bottom w:val="single" w:sz="8" w:space="0" w:color="FFFFFF"/>
              <w:right w:val="single" w:sz="8" w:space="0" w:color="FFFFFF"/>
            </w:tcBorders>
            <w:shd w:val="clear" w:color="auto" w:fill="CCCABB"/>
            <w:vAlign w:val="center"/>
          </w:tcPr>
          <w:p w14:paraId="5DF024BF" w14:textId="77777777" w:rsidR="00203347" w:rsidRPr="00203347" w:rsidRDefault="00203347" w:rsidP="00203347">
            <w:pPr>
              <w:spacing w:line="259" w:lineRule="auto"/>
              <w:ind w:right="49"/>
              <w:jc w:val="center"/>
              <w:rPr>
                <w:rFonts w:ascii="Calibri" w:eastAsia="Calibri" w:hAnsi="Calibri" w:cs="Calibri"/>
                <w:color w:val="000000"/>
                <w:sz w:val="22"/>
              </w:rPr>
            </w:pPr>
            <w:r w:rsidRPr="00203347">
              <w:rPr>
                <w:rFonts w:ascii="Arial" w:eastAsia="Arial" w:hAnsi="Arial" w:cs="Arial"/>
                <w:color w:val="000000"/>
                <w:sz w:val="18"/>
              </w:rPr>
              <w:t>1st OFFENSE</w:t>
            </w:r>
          </w:p>
        </w:tc>
        <w:tc>
          <w:tcPr>
            <w:tcW w:w="2665" w:type="dxa"/>
            <w:tcBorders>
              <w:top w:val="single" w:sz="8" w:space="0" w:color="FFFFFF"/>
              <w:left w:val="single" w:sz="8" w:space="0" w:color="FFFFFF"/>
              <w:bottom w:val="single" w:sz="8" w:space="0" w:color="FFFFFF"/>
              <w:right w:val="single" w:sz="8" w:space="0" w:color="FFFFFF"/>
            </w:tcBorders>
            <w:shd w:val="clear" w:color="auto" w:fill="CCCABB"/>
            <w:vAlign w:val="center"/>
          </w:tcPr>
          <w:p w14:paraId="60BEAAF8" w14:textId="77777777" w:rsidR="00203347" w:rsidRPr="00203347" w:rsidRDefault="00203347" w:rsidP="00203347">
            <w:pPr>
              <w:spacing w:line="259" w:lineRule="auto"/>
              <w:ind w:right="49"/>
              <w:jc w:val="center"/>
              <w:rPr>
                <w:rFonts w:ascii="Calibri" w:eastAsia="Calibri" w:hAnsi="Calibri" w:cs="Calibri"/>
                <w:color w:val="000000"/>
                <w:sz w:val="22"/>
              </w:rPr>
            </w:pPr>
            <w:r w:rsidRPr="00203347">
              <w:rPr>
                <w:rFonts w:ascii="Arial" w:eastAsia="Arial" w:hAnsi="Arial" w:cs="Arial"/>
                <w:color w:val="000000"/>
                <w:sz w:val="18"/>
              </w:rPr>
              <w:t xml:space="preserve">2nd OFFENSE * </w:t>
            </w:r>
          </w:p>
        </w:tc>
      </w:tr>
      <w:tr w:rsidR="00203347" w:rsidRPr="00203347" w14:paraId="55C45A1E" w14:textId="77777777" w:rsidTr="009F4130">
        <w:trPr>
          <w:trHeight w:val="1222"/>
        </w:trPr>
        <w:tc>
          <w:tcPr>
            <w:tcW w:w="1932" w:type="dxa"/>
            <w:tcBorders>
              <w:top w:val="single" w:sz="8" w:space="0" w:color="FFFFFF"/>
              <w:left w:val="single" w:sz="8" w:space="0" w:color="FFFFFF"/>
              <w:bottom w:val="single" w:sz="8" w:space="0" w:color="FFFFFF"/>
              <w:right w:val="single" w:sz="8" w:space="0" w:color="FFFFFF"/>
            </w:tcBorders>
            <w:shd w:val="clear" w:color="auto" w:fill="EEF7F8"/>
          </w:tcPr>
          <w:p w14:paraId="7D2D7801" w14:textId="77777777" w:rsidR="00203347" w:rsidRPr="00203347" w:rsidRDefault="00203347" w:rsidP="00203347">
            <w:pPr>
              <w:spacing w:line="259" w:lineRule="auto"/>
              <w:rPr>
                <w:rFonts w:ascii="Calibri" w:eastAsia="Calibri" w:hAnsi="Calibri" w:cs="Calibri"/>
                <w:color w:val="000000"/>
                <w:sz w:val="22"/>
              </w:rPr>
            </w:pPr>
            <w:r w:rsidRPr="00203347">
              <w:rPr>
                <w:rFonts w:ascii="Arial" w:eastAsia="Arial" w:hAnsi="Arial" w:cs="Arial"/>
                <w:color w:val="000000"/>
                <w:sz w:val="14"/>
              </w:rPr>
              <w:t>Marijuana (Schedule I)</w:t>
            </w:r>
          </w:p>
        </w:tc>
        <w:tc>
          <w:tcPr>
            <w:tcW w:w="2767" w:type="dxa"/>
            <w:tcBorders>
              <w:top w:val="single" w:sz="8" w:space="0" w:color="FFFFFF"/>
              <w:left w:val="single" w:sz="8" w:space="0" w:color="FFFFFF"/>
              <w:bottom w:val="single" w:sz="8" w:space="0" w:color="FFFFFF"/>
              <w:right w:val="single" w:sz="8" w:space="0" w:color="FFFFFF"/>
            </w:tcBorders>
            <w:shd w:val="clear" w:color="auto" w:fill="EEF7F8"/>
          </w:tcPr>
          <w:p w14:paraId="5461AE3B" w14:textId="77777777" w:rsidR="00203347" w:rsidRPr="00203347" w:rsidRDefault="00203347" w:rsidP="00203347">
            <w:pPr>
              <w:spacing w:line="259" w:lineRule="auto"/>
              <w:ind w:right="224"/>
              <w:rPr>
                <w:rFonts w:ascii="Calibri" w:eastAsia="Calibri" w:hAnsi="Calibri" w:cs="Calibri"/>
                <w:color w:val="000000"/>
                <w:sz w:val="22"/>
              </w:rPr>
            </w:pPr>
            <w:r w:rsidRPr="00203347">
              <w:rPr>
                <w:rFonts w:ascii="Arial" w:eastAsia="Arial" w:hAnsi="Arial" w:cs="Arial"/>
                <w:color w:val="000000"/>
                <w:sz w:val="14"/>
              </w:rPr>
              <w:t xml:space="preserve">1,000 kg or more marijuana mixture; or 1,000 or more marijuana plants </w:t>
            </w:r>
          </w:p>
        </w:tc>
        <w:tc>
          <w:tcPr>
            <w:tcW w:w="2627" w:type="dxa"/>
            <w:tcBorders>
              <w:top w:val="single" w:sz="8" w:space="0" w:color="FFFFFF"/>
              <w:left w:val="single" w:sz="8" w:space="0" w:color="FFFFFF"/>
              <w:bottom w:val="single" w:sz="8" w:space="0" w:color="FFFFFF"/>
              <w:right w:val="single" w:sz="8" w:space="0" w:color="FFFFFF"/>
            </w:tcBorders>
            <w:shd w:val="clear" w:color="auto" w:fill="EEF7F8"/>
          </w:tcPr>
          <w:p w14:paraId="4265EE9E" w14:textId="0F9E9A87" w:rsidR="00203347" w:rsidRPr="00203347" w:rsidRDefault="00203347" w:rsidP="00203347">
            <w:pPr>
              <w:spacing w:line="259" w:lineRule="auto"/>
              <w:ind w:right="14"/>
              <w:rPr>
                <w:rFonts w:ascii="Calibri" w:eastAsia="Calibri" w:hAnsi="Calibri" w:cs="Calibri"/>
                <w:color w:val="000000"/>
                <w:sz w:val="22"/>
              </w:rPr>
            </w:pPr>
            <w:r w:rsidRPr="00203347">
              <w:rPr>
                <w:rFonts w:ascii="Arial" w:eastAsia="Arial" w:hAnsi="Arial" w:cs="Arial"/>
                <w:color w:val="000000"/>
                <w:sz w:val="14"/>
              </w:rPr>
              <w:t xml:space="preserve">Not less than 10 yrs. or more than life. If death or serious bodily injury, not less than 20 yrs., or more than life. </w:t>
            </w:r>
            <w:r w:rsidR="00F81050" w:rsidRPr="00203347">
              <w:rPr>
                <w:rFonts w:ascii="Arial" w:eastAsia="Arial" w:hAnsi="Arial" w:cs="Arial"/>
                <w:color w:val="000000"/>
                <w:sz w:val="14"/>
              </w:rPr>
              <w:t>Fine,</w:t>
            </w:r>
            <w:r w:rsidRPr="00203347">
              <w:rPr>
                <w:rFonts w:ascii="Arial" w:eastAsia="Arial" w:hAnsi="Arial" w:cs="Arial"/>
                <w:color w:val="000000"/>
                <w:sz w:val="14"/>
              </w:rPr>
              <w:t xml:space="preserve"> not more than life. Fine not more than $10 million if an individual, $50 million if other than an individual. </w:t>
            </w:r>
          </w:p>
        </w:tc>
        <w:tc>
          <w:tcPr>
            <w:tcW w:w="2665" w:type="dxa"/>
            <w:tcBorders>
              <w:top w:val="single" w:sz="8" w:space="0" w:color="FFFFFF"/>
              <w:left w:val="single" w:sz="8" w:space="0" w:color="FFFFFF"/>
              <w:bottom w:val="single" w:sz="8" w:space="0" w:color="FFFFFF"/>
              <w:right w:val="single" w:sz="8" w:space="0" w:color="FFFFFF"/>
            </w:tcBorders>
            <w:shd w:val="clear" w:color="auto" w:fill="EEF7F8"/>
          </w:tcPr>
          <w:p w14:paraId="5B7FED6D" w14:textId="77777777" w:rsidR="00203347" w:rsidRPr="00203347" w:rsidRDefault="00203347" w:rsidP="00203347">
            <w:pPr>
              <w:spacing w:line="259" w:lineRule="auto"/>
              <w:ind w:right="52"/>
              <w:rPr>
                <w:rFonts w:ascii="Calibri" w:eastAsia="Calibri" w:hAnsi="Calibri" w:cs="Calibri"/>
                <w:color w:val="000000"/>
                <w:sz w:val="22"/>
              </w:rPr>
            </w:pPr>
            <w:r w:rsidRPr="00203347">
              <w:rPr>
                <w:rFonts w:ascii="Arial" w:eastAsia="Arial" w:hAnsi="Arial" w:cs="Arial"/>
                <w:color w:val="000000"/>
                <w:sz w:val="14"/>
              </w:rPr>
              <w:t xml:space="preserve">Not less than 15 yrs. or more than life. If death or serious bodily injury, life imprisonment. Fine not more than $20 million if an individual, $75 million if other than an individual. </w:t>
            </w:r>
          </w:p>
        </w:tc>
      </w:tr>
      <w:tr w:rsidR="00203347" w:rsidRPr="00203347" w14:paraId="53AAF29C" w14:textId="77777777" w:rsidTr="009F4130">
        <w:trPr>
          <w:trHeight w:val="1509"/>
        </w:trPr>
        <w:tc>
          <w:tcPr>
            <w:tcW w:w="1932" w:type="dxa"/>
            <w:tcBorders>
              <w:top w:val="single" w:sz="8" w:space="0" w:color="FFFFFF"/>
              <w:left w:val="single" w:sz="8" w:space="0" w:color="FFFFFF"/>
              <w:bottom w:val="single" w:sz="8" w:space="0" w:color="FFFFFF"/>
              <w:right w:val="single" w:sz="8" w:space="0" w:color="FFFFFF"/>
            </w:tcBorders>
            <w:shd w:val="clear" w:color="auto" w:fill="EEF7F8"/>
          </w:tcPr>
          <w:p w14:paraId="68C223D6" w14:textId="77777777" w:rsidR="00203347" w:rsidRPr="00203347" w:rsidRDefault="00203347" w:rsidP="00203347">
            <w:pPr>
              <w:spacing w:line="259" w:lineRule="auto"/>
              <w:rPr>
                <w:rFonts w:ascii="Calibri" w:eastAsia="Calibri" w:hAnsi="Calibri" w:cs="Calibri"/>
                <w:color w:val="000000"/>
                <w:sz w:val="22"/>
              </w:rPr>
            </w:pPr>
            <w:r w:rsidRPr="00203347">
              <w:rPr>
                <w:rFonts w:ascii="Arial" w:eastAsia="Arial" w:hAnsi="Arial" w:cs="Arial"/>
                <w:color w:val="000000"/>
                <w:sz w:val="14"/>
              </w:rPr>
              <w:t>Marijuana (Schedule I)</w:t>
            </w:r>
          </w:p>
        </w:tc>
        <w:tc>
          <w:tcPr>
            <w:tcW w:w="2767" w:type="dxa"/>
            <w:tcBorders>
              <w:top w:val="single" w:sz="8" w:space="0" w:color="FFFFFF"/>
              <w:left w:val="single" w:sz="8" w:space="0" w:color="FFFFFF"/>
              <w:bottom w:val="single" w:sz="8" w:space="0" w:color="FFFFFF"/>
              <w:right w:val="single" w:sz="8" w:space="0" w:color="FFFFFF"/>
            </w:tcBorders>
            <w:shd w:val="clear" w:color="auto" w:fill="EEF7F8"/>
          </w:tcPr>
          <w:p w14:paraId="7AE5BB01" w14:textId="77777777" w:rsidR="00203347" w:rsidRPr="00203347" w:rsidRDefault="00203347" w:rsidP="00203347">
            <w:pPr>
              <w:spacing w:line="259" w:lineRule="auto"/>
              <w:ind w:right="247"/>
              <w:rPr>
                <w:rFonts w:ascii="Calibri" w:eastAsia="Calibri" w:hAnsi="Calibri" w:cs="Calibri"/>
                <w:color w:val="000000"/>
                <w:sz w:val="22"/>
              </w:rPr>
            </w:pPr>
            <w:r w:rsidRPr="00203347">
              <w:rPr>
                <w:rFonts w:ascii="Arial" w:eastAsia="Arial" w:hAnsi="Arial" w:cs="Arial"/>
                <w:color w:val="000000"/>
                <w:sz w:val="14"/>
              </w:rPr>
              <w:t xml:space="preserve">100 kg to 999 kg marijuana mixture; or 100 to 999 marijuana plants </w:t>
            </w:r>
          </w:p>
        </w:tc>
        <w:tc>
          <w:tcPr>
            <w:tcW w:w="2627" w:type="dxa"/>
            <w:tcBorders>
              <w:top w:val="single" w:sz="8" w:space="0" w:color="FFFFFF"/>
              <w:left w:val="single" w:sz="8" w:space="0" w:color="FFFFFF"/>
              <w:bottom w:val="single" w:sz="8" w:space="0" w:color="FFFFFF"/>
              <w:right w:val="single" w:sz="8" w:space="0" w:color="FFFFFF"/>
            </w:tcBorders>
            <w:shd w:val="clear" w:color="auto" w:fill="EEF7F8"/>
          </w:tcPr>
          <w:p w14:paraId="5A4415A4" w14:textId="1D54019E" w:rsidR="00203347" w:rsidRPr="00203347" w:rsidRDefault="00203347" w:rsidP="00203347">
            <w:pPr>
              <w:spacing w:line="259" w:lineRule="auto"/>
              <w:ind w:right="7"/>
              <w:rPr>
                <w:rFonts w:ascii="Calibri" w:eastAsia="Calibri" w:hAnsi="Calibri" w:cs="Calibri"/>
                <w:color w:val="000000"/>
                <w:sz w:val="22"/>
              </w:rPr>
            </w:pPr>
            <w:r w:rsidRPr="00203347">
              <w:rPr>
                <w:rFonts w:ascii="Arial" w:eastAsia="Arial" w:hAnsi="Arial" w:cs="Arial"/>
                <w:color w:val="000000"/>
                <w:sz w:val="14"/>
              </w:rPr>
              <w:t xml:space="preserve">Not less than 5 yrs. or more than 40 yrs. If death or serious bodily injury, not less than 20 yrs., or more than life. </w:t>
            </w:r>
            <w:r w:rsidR="00F81050" w:rsidRPr="00203347">
              <w:rPr>
                <w:rFonts w:ascii="Arial" w:eastAsia="Arial" w:hAnsi="Arial" w:cs="Arial"/>
                <w:color w:val="000000"/>
                <w:sz w:val="14"/>
              </w:rPr>
              <w:t>Fine,</w:t>
            </w:r>
            <w:r w:rsidRPr="00203347">
              <w:rPr>
                <w:rFonts w:ascii="Arial" w:eastAsia="Arial" w:hAnsi="Arial" w:cs="Arial"/>
                <w:color w:val="000000"/>
                <w:sz w:val="14"/>
              </w:rPr>
              <w:t xml:space="preserve"> not more than life. Fine not more than $5 million if an individual, $25 million if other than an individual. </w:t>
            </w:r>
          </w:p>
        </w:tc>
        <w:tc>
          <w:tcPr>
            <w:tcW w:w="2665" w:type="dxa"/>
            <w:tcBorders>
              <w:top w:val="single" w:sz="8" w:space="0" w:color="FFFFFF"/>
              <w:left w:val="single" w:sz="8" w:space="0" w:color="FFFFFF"/>
              <w:bottom w:val="single" w:sz="8" w:space="0" w:color="FFFFFF"/>
              <w:right w:val="single" w:sz="8" w:space="0" w:color="FFFFFF"/>
            </w:tcBorders>
            <w:shd w:val="clear" w:color="auto" w:fill="EEF7F8"/>
          </w:tcPr>
          <w:p w14:paraId="00FF0D39" w14:textId="77777777" w:rsidR="00203347" w:rsidRPr="00203347" w:rsidRDefault="00203347" w:rsidP="00203347">
            <w:pPr>
              <w:spacing w:line="259" w:lineRule="auto"/>
              <w:ind w:right="52"/>
              <w:rPr>
                <w:rFonts w:ascii="Calibri" w:eastAsia="Calibri" w:hAnsi="Calibri" w:cs="Calibri"/>
                <w:color w:val="000000"/>
                <w:sz w:val="22"/>
              </w:rPr>
            </w:pPr>
            <w:r w:rsidRPr="00203347">
              <w:rPr>
                <w:rFonts w:ascii="Arial" w:eastAsia="Arial" w:hAnsi="Arial" w:cs="Arial"/>
                <w:color w:val="000000"/>
                <w:sz w:val="14"/>
              </w:rPr>
              <w:t xml:space="preserve">Not less than 10 yrs. or more than life. If death or serious bodily injury, life imprisonment. Fine not more than $8 million if an individual, $50 million if other than an individual. </w:t>
            </w:r>
          </w:p>
        </w:tc>
      </w:tr>
      <w:tr w:rsidR="00203347" w:rsidRPr="00203347" w14:paraId="0B47CABB" w14:textId="77777777" w:rsidTr="009F4130">
        <w:trPr>
          <w:trHeight w:val="1032"/>
        </w:trPr>
        <w:tc>
          <w:tcPr>
            <w:tcW w:w="1932" w:type="dxa"/>
            <w:tcBorders>
              <w:top w:val="single" w:sz="8" w:space="0" w:color="FFFFFF"/>
              <w:left w:val="single" w:sz="8" w:space="0" w:color="FFFFFF"/>
              <w:bottom w:val="single" w:sz="8" w:space="0" w:color="FFFFFF"/>
              <w:right w:val="single" w:sz="8" w:space="0" w:color="FFFFFF"/>
            </w:tcBorders>
            <w:shd w:val="clear" w:color="auto" w:fill="EEF7F8"/>
          </w:tcPr>
          <w:p w14:paraId="602A3FA2" w14:textId="77777777" w:rsidR="00203347" w:rsidRPr="00203347" w:rsidRDefault="00203347" w:rsidP="00203347">
            <w:pPr>
              <w:spacing w:line="259" w:lineRule="auto"/>
              <w:rPr>
                <w:rFonts w:ascii="Calibri" w:eastAsia="Calibri" w:hAnsi="Calibri" w:cs="Calibri"/>
                <w:color w:val="000000"/>
                <w:sz w:val="22"/>
              </w:rPr>
            </w:pPr>
            <w:r w:rsidRPr="00203347">
              <w:rPr>
                <w:rFonts w:ascii="Arial" w:eastAsia="Arial" w:hAnsi="Arial" w:cs="Arial"/>
                <w:color w:val="000000"/>
                <w:sz w:val="14"/>
              </w:rPr>
              <w:t>Marijuana (Schedule I)</w:t>
            </w:r>
          </w:p>
        </w:tc>
        <w:tc>
          <w:tcPr>
            <w:tcW w:w="2767" w:type="dxa"/>
            <w:tcBorders>
              <w:top w:val="single" w:sz="8" w:space="0" w:color="FFFFFF"/>
              <w:left w:val="single" w:sz="8" w:space="0" w:color="FFFFFF"/>
              <w:bottom w:val="single" w:sz="8" w:space="0" w:color="FFFFFF"/>
              <w:right w:val="single" w:sz="8" w:space="0" w:color="FFFFFF"/>
            </w:tcBorders>
            <w:shd w:val="clear" w:color="auto" w:fill="EEF7F8"/>
          </w:tcPr>
          <w:p w14:paraId="4FD823E9" w14:textId="77777777" w:rsidR="00203347" w:rsidRPr="00203347" w:rsidRDefault="00203347" w:rsidP="00203347">
            <w:pPr>
              <w:spacing w:after="16" w:line="259" w:lineRule="auto"/>
              <w:rPr>
                <w:rFonts w:ascii="Calibri" w:eastAsia="Calibri" w:hAnsi="Calibri" w:cs="Calibri"/>
                <w:color w:val="000000"/>
                <w:sz w:val="22"/>
              </w:rPr>
            </w:pPr>
            <w:r w:rsidRPr="00203347">
              <w:rPr>
                <w:rFonts w:ascii="Arial" w:eastAsia="Arial" w:hAnsi="Arial" w:cs="Arial"/>
                <w:color w:val="000000"/>
                <w:sz w:val="14"/>
              </w:rPr>
              <w:t xml:space="preserve">More than 10 kgs hashish; </w:t>
            </w:r>
          </w:p>
          <w:p w14:paraId="31E6775D" w14:textId="77777777" w:rsidR="00203347" w:rsidRPr="00203347" w:rsidRDefault="00203347" w:rsidP="00203347">
            <w:pPr>
              <w:spacing w:after="87" w:line="259" w:lineRule="auto"/>
              <w:rPr>
                <w:rFonts w:ascii="Calibri" w:eastAsia="Calibri" w:hAnsi="Calibri" w:cs="Calibri"/>
                <w:color w:val="000000"/>
                <w:sz w:val="22"/>
              </w:rPr>
            </w:pPr>
            <w:r w:rsidRPr="00203347">
              <w:rPr>
                <w:rFonts w:ascii="Arial" w:eastAsia="Arial" w:hAnsi="Arial" w:cs="Arial"/>
                <w:color w:val="000000"/>
                <w:sz w:val="14"/>
              </w:rPr>
              <w:t xml:space="preserve">50 to 99 kg marijuana mixture </w:t>
            </w:r>
          </w:p>
          <w:p w14:paraId="717DFCD4" w14:textId="77777777" w:rsidR="00203347" w:rsidRPr="00203347" w:rsidRDefault="00203347" w:rsidP="00203347">
            <w:pPr>
              <w:spacing w:after="16" w:line="259" w:lineRule="auto"/>
              <w:rPr>
                <w:rFonts w:ascii="Calibri" w:eastAsia="Calibri" w:hAnsi="Calibri" w:cs="Calibri"/>
                <w:color w:val="000000"/>
                <w:sz w:val="22"/>
              </w:rPr>
            </w:pPr>
            <w:r w:rsidRPr="00203347">
              <w:rPr>
                <w:rFonts w:ascii="Arial" w:eastAsia="Arial" w:hAnsi="Arial" w:cs="Arial"/>
                <w:color w:val="000000"/>
                <w:sz w:val="14"/>
              </w:rPr>
              <w:t xml:space="preserve">More than 1 kg of hashish oil;  </w:t>
            </w:r>
          </w:p>
          <w:p w14:paraId="09594D40" w14:textId="77777777" w:rsidR="00203347" w:rsidRPr="00203347" w:rsidRDefault="00203347" w:rsidP="00203347">
            <w:pPr>
              <w:spacing w:line="259" w:lineRule="auto"/>
              <w:rPr>
                <w:rFonts w:ascii="Calibri" w:eastAsia="Calibri" w:hAnsi="Calibri" w:cs="Calibri"/>
                <w:color w:val="000000"/>
                <w:sz w:val="22"/>
              </w:rPr>
            </w:pPr>
            <w:r w:rsidRPr="00203347">
              <w:rPr>
                <w:rFonts w:ascii="Arial" w:eastAsia="Arial" w:hAnsi="Arial" w:cs="Arial"/>
                <w:color w:val="000000"/>
                <w:sz w:val="14"/>
              </w:rPr>
              <w:t xml:space="preserve">50 to 99 marijuana plants </w:t>
            </w:r>
          </w:p>
        </w:tc>
        <w:tc>
          <w:tcPr>
            <w:tcW w:w="2627" w:type="dxa"/>
            <w:tcBorders>
              <w:top w:val="single" w:sz="8" w:space="0" w:color="FFFFFF"/>
              <w:left w:val="single" w:sz="8" w:space="0" w:color="FFFFFF"/>
              <w:bottom w:val="single" w:sz="8" w:space="0" w:color="FFFFFF"/>
              <w:right w:val="single" w:sz="8" w:space="0" w:color="FFFFFF"/>
            </w:tcBorders>
            <w:shd w:val="clear" w:color="auto" w:fill="EEF7F8"/>
          </w:tcPr>
          <w:p w14:paraId="41F54A05" w14:textId="77777777" w:rsidR="00203347" w:rsidRPr="00203347" w:rsidRDefault="00203347" w:rsidP="00203347">
            <w:pPr>
              <w:spacing w:line="259" w:lineRule="auto"/>
              <w:rPr>
                <w:rFonts w:ascii="Calibri" w:eastAsia="Calibri" w:hAnsi="Calibri" w:cs="Calibri"/>
                <w:color w:val="000000"/>
                <w:sz w:val="22"/>
              </w:rPr>
            </w:pPr>
            <w:r w:rsidRPr="00203347">
              <w:rPr>
                <w:rFonts w:ascii="Arial" w:eastAsia="Arial" w:hAnsi="Arial" w:cs="Arial"/>
                <w:color w:val="000000"/>
                <w:sz w:val="14"/>
              </w:rPr>
              <w:t xml:space="preserve">Not less than 20 yrs. If death or serious bodily injury, not less than 20 yrs., or more than life. Fine $1 million if an individual, $5 million if other than an individual. </w:t>
            </w:r>
          </w:p>
        </w:tc>
        <w:tc>
          <w:tcPr>
            <w:tcW w:w="2665" w:type="dxa"/>
            <w:tcBorders>
              <w:top w:val="single" w:sz="8" w:space="0" w:color="FFFFFF"/>
              <w:left w:val="single" w:sz="8" w:space="0" w:color="FFFFFF"/>
              <w:bottom w:val="single" w:sz="8" w:space="0" w:color="FFFFFF"/>
              <w:right w:val="single" w:sz="8" w:space="0" w:color="FFFFFF"/>
            </w:tcBorders>
            <w:shd w:val="clear" w:color="auto" w:fill="EEF7F8"/>
          </w:tcPr>
          <w:p w14:paraId="7A257D60" w14:textId="77777777" w:rsidR="00203347" w:rsidRPr="00203347" w:rsidRDefault="00203347" w:rsidP="00203347">
            <w:pPr>
              <w:spacing w:line="259" w:lineRule="auto"/>
              <w:ind w:right="98"/>
              <w:rPr>
                <w:rFonts w:ascii="Calibri" w:eastAsia="Calibri" w:hAnsi="Calibri" w:cs="Calibri"/>
                <w:color w:val="000000"/>
                <w:sz w:val="22"/>
              </w:rPr>
            </w:pPr>
            <w:r w:rsidRPr="00203347">
              <w:rPr>
                <w:rFonts w:ascii="Arial" w:eastAsia="Arial" w:hAnsi="Arial" w:cs="Arial"/>
                <w:color w:val="000000"/>
                <w:sz w:val="14"/>
              </w:rPr>
              <w:t xml:space="preserve">Not less than 30 yrs. If death or serious bodily injury, life imprisonment. Fine $2 million if an individual, $10 million if other than an individual. </w:t>
            </w:r>
          </w:p>
        </w:tc>
      </w:tr>
      <w:tr w:rsidR="00203347" w:rsidRPr="00203347" w14:paraId="3300B611" w14:textId="77777777" w:rsidTr="009F4130">
        <w:trPr>
          <w:trHeight w:val="1292"/>
        </w:trPr>
        <w:tc>
          <w:tcPr>
            <w:tcW w:w="1932" w:type="dxa"/>
            <w:tcBorders>
              <w:top w:val="single" w:sz="8" w:space="0" w:color="FFFFFF"/>
              <w:left w:val="single" w:sz="8" w:space="0" w:color="FFFFFF"/>
              <w:bottom w:val="single" w:sz="8" w:space="0" w:color="FFFFFF"/>
              <w:right w:val="single" w:sz="8" w:space="0" w:color="FFFFFF"/>
            </w:tcBorders>
            <w:shd w:val="clear" w:color="auto" w:fill="EEF7F8"/>
          </w:tcPr>
          <w:p w14:paraId="5C392F57" w14:textId="77777777" w:rsidR="00203347" w:rsidRPr="00203347" w:rsidRDefault="00203347" w:rsidP="00203347">
            <w:pPr>
              <w:spacing w:line="259" w:lineRule="auto"/>
              <w:rPr>
                <w:rFonts w:ascii="Calibri" w:eastAsia="Calibri" w:hAnsi="Calibri" w:cs="Calibri"/>
                <w:color w:val="000000"/>
                <w:sz w:val="22"/>
              </w:rPr>
            </w:pPr>
            <w:r w:rsidRPr="00203347">
              <w:rPr>
                <w:rFonts w:ascii="Arial" w:eastAsia="Arial" w:hAnsi="Arial" w:cs="Arial"/>
                <w:color w:val="000000"/>
                <w:sz w:val="14"/>
              </w:rPr>
              <w:t>Marijuana (Schedule I)</w:t>
            </w:r>
          </w:p>
        </w:tc>
        <w:tc>
          <w:tcPr>
            <w:tcW w:w="2767" w:type="dxa"/>
            <w:tcBorders>
              <w:top w:val="single" w:sz="8" w:space="0" w:color="FFFFFF"/>
              <w:left w:val="single" w:sz="8" w:space="0" w:color="FFFFFF"/>
              <w:bottom w:val="single" w:sz="8" w:space="0" w:color="FFFFFF"/>
              <w:right w:val="single" w:sz="8" w:space="0" w:color="FFFFFF"/>
            </w:tcBorders>
            <w:shd w:val="clear" w:color="auto" w:fill="EEF7F8"/>
          </w:tcPr>
          <w:p w14:paraId="18D9FA6B" w14:textId="77777777" w:rsidR="00203347" w:rsidRPr="00203347" w:rsidRDefault="00203347" w:rsidP="00203347">
            <w:pPr>
              <w:spacing w:after="260" w:line="283" w:lineRule="auto"/>
              <w:ind w:right="138"/>
              <w:rPr>
                <w:rFonts w:ascii="Calibri" w:eastAsia="Calibri" w:hAnsi="Calibri" w:cs="Calibri"/>
                <w:color w:val="000000"/>
                <w:sz w:val="22"/>
              </w:rPr>
            </w:pPr>
            <w:r w:rsidRPr="00203347">
              <w:rPr>
                <w:rFonts w:ascii="Arial" w:eastAsia="Arial" w:hAnsi="Arial" w:cs="Arial"/>
                <w:color w:val="000000"/>
                <w:sz w:val="14"/>
              </w:rPr>
              <w:t xml:space="preserve">Less than 50 kg marijuana (except 50 or more marijuana plants regardless of weight); </w:t>
            </w:r>
          </w:p>
          <w:p w14:paraId="7D689E3A" w14:textId="77777777" w:rsidR="00203347" w:rsidRPr="00203347" w:rsidRDefault="00203347" w:rsidP="00203347">
            <w:pPr>
              <w:spacing w:line="259" w:lineRule="auto"/>
              <w:rPr>
                <w:rFonts w:ascii="Calibri" w:eastAsia="Calibri" w:hAnsi="Calibri" w:cs="Calibri"/>
                <w:color w:val="000000"/>
                <w:sz w:val="22"/>
              </w:rPr>
            </w:pPr>
            <w:r w:rsidRPr="00203347">
              <w:rPr>
                <w:rFonts w:ascii="Arial" w:eastAsia="Arial" w:hAnsi="Arial" w:cs="Arial"/>
                <w:color w:val="000000"/>
                <w:sz w:val="14"/>
              </w:rPr>
              <w:t xml:space="preserve">1 to 49 marijuana plants; </w:t>
            </w:r>
          </w:p>
        </w:tc>
        <w:tc>
          <w:tcPr>
            <w:tcW w:w="2627" w:type="dxa"/>
            <w:tcBorders>
              <w:top w:val="single" w:sz="8" w:space="0" w:color="FFFFFF"/>
              <w:left w:val="single" w:sz="8" w:space="0" w:color="FFFFFF"/>
              <w:bottom w:val="single" w:sz="8" w:space="0" w:color="FFFFFF"/>
              <w:right w:val="single" w:sz="8" w:space="0" w:color="FFFFFF"/>
            </w:tcBorders>
            <w:shd w:val="clear" w:color="auto" w:fill="EEF7F8"/>
          </w:tcPr>
          <w:p w14:paraId="318B2297" w14:textId="77777777" w:rsidR="00203347" w:rsidRPr="00203347" w:rsidRDefault="00203347" w:rsidP="00203347">
            <w:pPr>
              <w:spacing w:line="259" w:lineRule="auto"/>
              <w:ind w:right="14"/>
              <w:rPr>
                <w:rFonts w:ascii="Calibri" w:eastAsia="Calibri" w:hAnsi="Calibri" w:cs="Calibri"/>
                <w:color w:val="000000"/>
                <w:sz w:val="22"/>
              </w:rPr>
            </w:pPr>
            <w:r w:rsidRPr="00203347">
              <w:rPr>
                <w:rFonts w:ascii="Arial" w:eastAsia="Arial" w:hAnsi="Arial" w:cs="Arial"/>
                <w:color w:val="000000"/>
                <w:sz w:val="14"/>
              </w:rPr>
              <w:t xml:space="preserve">Not more than 5 yrs. Fine not more than $250,000, $1 million if other than an individual </w:t>
            </w:r>
          </w:p>
        </w:tc>
        <w:tc>
          <w:tcPr>
            <w:tcW w:w="2665" w:type="dxa"/>
            <w:tcBorders>
              <w:top w:val="single" w:sz="8" w:space="0" w:color="FFFFFF"/>
              <w:left w:val="single" w:sz="8" w:space="0" w:color="FFFFFF"/>
              <w:bottom w:val="single" w:sz="8" w:space="0" w:color="FFFFFF"/>
              <w:right w:val="single" w:sz="8" w:space="0" w:color="FFFFFF"/>
            </w:tcBorders>
            <w:shd w:val="clear" w:color="auto" w:fill="EEF7F8"/>
          </w:tcPr>
          <w:p w14:paraId="41BAB6B9" w14:textId="77777777" w:rsidR="00203347" w:rsidRPr="00203347" w:rsidRDefault="00203347" w:rsidP="00203347">
            <w:pPr>
              <w:spacing w:line="259" w:lineRule="auto"/>
              <w:ind w:right="145"/>
              <w:rPr>
                <w:rFonts w:ascii="Calibri" w:eastAsia="Calibri" w:hAnsi="Calibri" w:cs="Calibri"/>
                <w:color w:val="000000"/>
                <w:sz w:val="22"/>
              </w:rPr>
            </w:pPr>
            <w:r w:rsidRPr="00203347">
              <w:rPr>
                <w:rFonts w:ascii="Arial" w:eastAsia="Arial" w:hAnsi="Arial" w:cs="Arial"/>
                <w:color w:val="000000"/>
                <w:sz w:val="14"/>
              </w:rPr>
              <w:t xml:space="preserve">Not more than 10 yrs. Fine $500,000 if an individual, $2 million if other than individual </w:t>
            </w:r>
          </w:p>
        </w:tc>
      </w:tr>
      <w:tr w:rsidR="00203347" w:rsidRPr="00203347" w14:paraId="6BF02FD8" w14:textId="77777777" w:rsidTr="009F4130">
        <w:trPr>
          <w:trHeight w:val="671"/>
        </w:trPr>
        <w:tc>
          <w:tcPr>
            <w:tcW w:w="1932" w:type="dxa"/>
            <w:tcBorders>
              <w:top w:val="single" w:sz="8" w:space="0" w:color="FFFFFF"/>
              <w:left w:val="single" w:sz="8" w:space="0" w:color="FFFFFF"/>
              <w:bottom w:val="nil"/>
              <w:right w:val="single" w:sz="8" w:space="0" w:color="FFFFFF"/>
            </w:tcBorders>
            <w:shd w:val="clear" w:color="auto" w:fill="EEF7F8"/>
          </w:tcPr>
          <w:p w14:paraId="3D55825E" w14:textId="77777777" w:rsidR="00203347" w:rsidRPr="00203347" w:rsidRDefault="00203347" w:rsidP="00203347">
            <w:pPr>
              <w:spacing w:line="259" w:lineRule="auto"/>
              <w:rPr>
                <w:rFonts w:ascii="Calibri" w:eastAsia="Calibri" w:hAnsi="Calibri" w:cs="Calibri"/>
                <w:color w:val="000000"/>
                <w:sz w:val="22"/>
              </w:rPr>
            </w:pPr>
            <w:r w:rsidRPr="00203347">
              <w:rPr>
                <w:rFonts w:ascii="Arial" w:eastAsia="Arial" w:hAnsi="Arial" w:cs="Arial"/>
                <w:color w:val="000000"/>
                <w:sz w:val="14"/>
              </w:rPr>
              <w:t>Hashish (Schedule I)</w:t>
            </w:r>
          </w:p>
        </w:tc>
        <w:tc>
          <w:tcPr>
            <w:tcW w:w="2767" w:type="dxa"/>
            <w:tcBorders>
              <w:top w:val="single" w:sz="8" w:space="0" w:color="FFFFFF"/>
              <w:left w:val="single" w:sz="8" w:space="0" w:color="FFFFFF"/>
              <w:bottom w:val="nil"/>
              <w:right w:val="single" w:sz="8" w:space="0" w:color="FFFFFF"/>
            </w:tcBorders>
            <w:shd w:val="clear" w:color="auto" w:fill="EEF7F8"/>
          </w:tcPr>
          <w:p w14:paraId="147721F9" w14:textId="77777777" w:rsidR="00203347" w:rsidRPr="00203347" w:rsidRDefault="00203347" w:rsidP="00203347">
            <w:pPr>
              <w:spacing w:line="259" w:lineRule="auto"/>
              <w:rPr>
                <w:rFonts w:ascii="Calibri" w:eastAsia="Calibri" w:hAnsi="Calibri" w:cs="Calibri"/>
                <w:color w:val="000000"/>
                <w:sz w:val="22"/>
              </w:rPr>
            </w:pPr>
            <w:r w:rsidRPr="00203347">
              <w:rPr>
                <w:rFonts w:ascii="Arial" w:eastAsia="Arial" w:hAnsi="Arial" w:cs="Arial"/>
                <w:color w:val="000000"/>
                <w:sz w:val="14"/>
              </w:rPr>
              <w:t xml:space="preserve">10 kg or less </w:t>
            </w:r>
          </w:p>
        </w:tc>
        <w:tc>
          <w:tcPr>
            <w:tcW w:w="2627" w:type="dxa"/>
            <w:tcBorders>
              <w:top w:val="single" w:sz="8" w:space="0" w:color="FFFFFF"/>
              <w:left w:val="single" w:sz="8" w:space="0" w:color="FFFFFF"/>
              <w:bottom w:val="nil"/>
              <w:right w:val="single" w:sz="8" w:space="0" w:color="FFFFFF"/>
            </w:tcBorders>
            <w:shd w:val="clear" w:color="auto" w:fill="EEF7F8"/>
          </w:tcPr>
          <w:p w14:paraId="395F0E6C" w14:textId="77777777" w:rsidR="00203347" w:rsidRPr="00203347" w:rsidRDefault="00203347" w:rsidP="00203347">
            <w:pPr>
              <w:spacing w:line="259" w:lineRule="auto"/>
              <w:ind w:right="14"/>
              <w:rPr>
                <w:rFonts w:ascii="Calibri" w:eastAsia="Calibri" w:hAnsi="Calibri" w:cs="Calibri"/>
                <w:color w:val="000000"/>
                <w:sz w:val="22"/>
              </w:rPr>
            </w:pPr>
            <w:r w:rsidRPr="00203347">
              <w:rPr>
                <w:rFonts w:ascii="Arial" w:eastAsia="Arial" w:hAnsi="Arial" w:cs="Arial"/>
                <w:color w:val="000000"/>
                <w:sz w:val="14"/>
              </w:rPr>
              <w:t xml:space="preserve">Not more than 5 yrs. Fine not more than $250,000, $1 million if other than an individual. </w:t>
            </w:r>
          </w:p>
        </w:tc>
        <w:tc>
          <w:tcPr>
            <w:tcW w:w="2665" w:type="dxa"/>
            <w:tcBorders>
              <w:top w:val="single" w:sz="8" w:space="0" w:color="FFFFFF"/>
              <w:left w:val="single" w:sz="8" w:space="0" w:color="FFFFFF"/>
              <w:bottom w:val="nil"/>
              <w:right w:val="single" w:sz="8" w:space="0" w:color="FFFFFF"/>
            </w:tcBorders>
            <w:shd w:val="clear" w:color="auto" w:fill="EEF7F8"/>
          </w:tcPr>
          <w:p w14:paraId="0EB90B39" w14:textId="77777777" w:rsidR="00203347" w:rsidRPr="00203347" w:rsidRDefault="00203347" w:rsidP="00203347">
            <w:pPr>
              <w:spacing w:line="259" w:lineRule="auto"/>
              <w:ind w:right="145"/>
              <w:rPr>
                <w:rFonts w:ascii="Calibri" w:eastAsia="Calibri" w:hAnsi="Calibri" w:cs="Calibri"/>
                <w:color w:val="000000"/>
                <w:sz w:val="22"/>
              </w:rPr>
            </w:pPr>
            <w:r w:rsidRPr="00203347">
              <w:rPr>
                <w:rFonts w:ascii="Arial" w:eastAsia="Arial" w:hAnsi="Arial" w:cs="Arial"/>
                <w:color w:val="000000"/>
                <w:sz w:val="14"/>
              </w:rPr>
              <w:t xml:space="preserve">Not more than 10 yrs. Fine $500,000 if an individual, $2 million if other than individual </w:t>
            </w:r>
          </w:p>
        </w:tc>
      </w:tr>
      <w:tr w:rsidR="00203347" w:rsidRPr="00203347" w14:paraId="53D10236" w14:textId="77777777" w:rsidTr="009F4130">
        <w:trPr>
          <w:trHeight w:val="633"/>
        </w:trPr>
        <w:tc>
          <w:tcPr>
            <w:tcW w:w="1932" w:type="dxa"/>
            <w:tcBorders>
              <w:top w:val="nil"/>
              <w:left w:val="single" w:sz="8" w:space="0" w:color="FFFFFF"/>
              <w:bottom w:val="single" w:sz="8" w:space="0" w:color="FFFFFF"/>
              <w:right w:val="single" w:sz="8" w:space="0" w:color="FFFFFF"/>
            </w:tcBorders>
            <w:shd w:val="clear" w:color="auto" w:fill="EEF7F8"/>
          </w:tcPr>
          <w:p w14:paraId="78685CC3" w14:textId="77777777" w:rsidR="00203347" w:rsidRPr="00203347" w:rsidRDefault="00203347" w:rsidP="00203347">
            <w:pPr>
              <w:spacing w:line="259" w:lineRule="auto"/>
              <w:rPr>
                <w:rFonts w:ascii="Calibri" w:eastAsia="Calibri" w:hAnsi="Calibri" w:cs="Calibri"/>
                <w:color w:val="000000"/>
                <w:sz w:val="22"/>
              </w:rPr>
            </w:pPr>
            <w:r w:rsidRPr="00203347">
              <w:rPr>
                <w:rFonts w:ascii="Arial" w:eastAsia="Arial" w:hAnsi="Arial" w:cs="Arial"/>
                <w:color w:val="000000"/>
                <w:sz w:val="14"/>
              </w:rPr>
              <w:t xml:space="preserve">Hashish Oil (Schedule I) </w:t>
            </w:r>
          </w:p>
        </w:tc>
        <w:tc>
          <w:tcPr>
            <w:tcW w:w="2767" w:type="dxa"/>
            <w:tcBorders>
              <w:top w:val="nil"/>
              <w:left w:val="single" w:sz="8" w:space="0" w:color="FFFFFF"/>
              <w:bottom w:val="single" w:sz="8" w:space="0" w:color="FFFFFF"/>
              <w:right w:val="single" w:sz="8" w:space="0" w:color="FFFFFF"/>
            </w:tcBorders>
            <w:shd w:val="clear" w:color="auto" w:fill="EEF7F8"/>
          </w:tcPr>
          <w:p w14:paraId="56BBA93D" w14:textId="77777777" w:rsidR="00203347" w:rsidRPr="00203347" w:rsidRDefault="00203347" w:rsidP="00203347">
            <w:pPr>
              <w:spacing w:line="259" w:lineRule="auto"/>
              <w:rPr>
                <w:rFonts w:ascii="Calibri" w:eastAsia="Calibri" w:hAnsi="Calibri" w:cs="Calibri"/>
                <w:color w:val="000000"/>
                <w:sz w:val="22"/>
              </w:rPr>
            </w:pPr>
            <w:r w:rsidRPr="00203347">
              <w:rPr>
                <w:rFonts w:ascii="Arial" w:eastAsia="Arial" w:hAnsi="Arial" w:cs="Arial"/>
                <w:color w:val="000000"/>
                <w:sz w:val="14"/>
              </w:rPr>
              <w:t>1 kg or less</w:t>
            </w:r>
          </w:p>
        </w:tc>
        <w:tc>
          <w:tcPr>
            <w:tcW w:w="2627" w:type="dxa"/>
            <w:tcBorders>
              <w:top w:val="nil"/>
              <w:left w:val="single" w:sz="8" w:space="0" w:color="FFFFFF"/>
              <w:bottom w:val="single" w:sz="8" w:space="0" w:color="FFFFFF"/>
              <w:right w:val="single" w:sz="8" w:space="0" w:color="FFFFFF"/>
            </w:tcBorders>
            <w:shd w:val="clear" w:color="auto" w:fill="EEF7F8"/>
          </w:tcPr>
          <w:p w14:paraId="7858617F" w14:textId="77777777" w:rsidR="00203347" w:rsidRPr="00203347" w:rsidRDefault="00203347" w:rsidP="00203347">
            <w:pPr>
              <w:spacing w:line="259" w:lineRule="auto"/>
              <w:ind w:right="14"/>
              <w:rPr>
                <w:rFonts w:ascii="Calibri" w:eastAsia="Calibri" w:hAnsi="Calibri" w:cs="Calibri"/>
                <w:color w:val="000000"/>
                <w:sz w:val="22"/>
              </w:rPr>
            </w:pPr>
            <w:r w:rsidRPr="00203347">
              <w:rPr>
                <w:rFonts w:ascii="Arial" w:eastAsia="Arial" w:hAnsi="Arial" w:cs="Arial"/>
                <w:color w:val="000000"/>
                <w:sz w:val="14"/>
              </w:rPr>
              <w:t xml:space="preserve">Not more than 5 yrs. Fine not more than $250,000, $1 million if other than an individual. </w:t>
            </w:r>
          </w:p>
        </w:tc>
        <w:tc>
          <w:tcPr>
            <w:tcW w:w="2665" w:type="dxa"/>
            <w:tcBorders>
              <w:top w:val="nil"/>
              <w:left w:val="single" w:sz="8" w:space="0" w:color="FFFFFF"/>
              <w:bottom w:val="single" w:sz="8" w:space="0" w:color="FFFFFF"/>
              <w:right w:val="single" w:sz="8" w:space="0" w:color="FFFFFF"/>
            </w:tcBorders>
            <w:shd w:val="clear" w:color="auto" w:fill="EEF7F8"/>
          </w:tcPr>
          <w:p w14:paraId="71A14B41" w14:textId="77777777" w:rsidR="00203347" w:rsidRPr="00203347" w:rsidRDefault="00203347" w:rsidP="00203347">
            <w:pPr>
              <w:spacing w:line="259" w:lineRule="auto"/>
              <w:ind w:right="145"/>
              <w:rPr>
                <w:rFonts w:ascii="Calibri" w:eastAsia="Calibri" w:hAnsi="Calibri" w:cs="Calibri"/>
                <w:color w:val="000000"/>
                <w:sz w:val="22"/>
              </w:rPr>
            </w:pPr>
            <w:r w:rsidRPr="00203347">
              <w:rPr>
                <w:rFonts w:ascii="Arial" w:eastAsia="Arial" w:hAnsi="Arial" w:cs="Arial"/>
                <w:color w:val="000000"/>
                <w:sz w:val="14"/>
              </w:rPr>
              <w:t xml:space="preserve">Not more than 10 yrs. Fine $500,000 if an individual, $2 million if other than individual </w:t>
            </w:r>
          </w:p>
        </w:tc>
      </w:tr>
    </w:tbl>
    <w:p w14:paraId="4318D6D9" w14:textId="05F308A4" w:rsidR="001D1BC1" w:rsidRPr="00C51993" w:rsidRDefault="00203347" w:rsidP="00C51993">
      <w:pPr>
        <w:spacing w:before="0" w:after="4648" w:line="237" w:lineRule="auto"/>
        <w:ind w:left="90"/>
        <w:rPr>
          <w:rFonts w:ascii="Calibri" w:eastAsia="Calibri" w:hAnsi="Calibri" w:cs="Calibri"/>
          <w:color w:val="000000"/>
          <w:kern w:val="2"/>
          <w:sz w:val="22"/>
          <w:lang w:eastAsia="en-US"/>
          <w14:ligatures w14:val="standardContextual"/>
        </w:rPr>
      </w:pPr>
      <w:r w:rsidRPr="00203347">
        <w:rPr>
          <w:rFonts w:ascii="Tahoma" w:eastAsia="Tahoma" w:hAnsi="Tahoma" w:cs="Tahoma"/>
          <w:color w:val="000000"/>
          <w:kern w:val="2"/>
          <w:sz w:val="15"/>
          <w:lang w:eastAsia="en-US"/>
          <w14:ligatures w14:val="standardContextual"/>
        </w:rPr>
        <w:t>*The minimum sentence for a violation after two or more prior convictions for a felony drug offense have become final is not less than 25 years imprisonment and a fine up to $20 million if an individual and $75 million if other than an individual</w:t>
      </w:r>
      <w:r w:rsidR="00C51993">
        <w:rPr>
          <w:rFonts w:ascii="Tahoma" w:eastAsia="Tahoma" w:hAnsi="Tahoma" w:cs="Tahoma"/>
          <w:color w:val="000000"/>
          <w:kern w:val="2"/>
          <w:sz w:val="15"/>
          <w:lang w:eastAsia="en-US"/>
          <w14:ligatures w14:val="standardContextual"/>
        </w:rPr>
        <w:t xml:space="preserve">. </w:t>
      </w:r>
      <w:r w:rsidRPr="00203347">
        <w:rPr>
          <w:rFonts w:ascii="Times New Roman" w:eastAsia="Times New Roman" w:hAnsi="Times New Roman" w:cs="Times New Roman"/>
          <w:b/>
          <w:color w:val="000000"/>
          <w:kern w:val="2"/>
          <w:sz w:val="20"/>
          <w:lang w:eastAsia="en-US"/>
          <w14:ligatures w14:val="standardContextual"/>
        </w:rPr>
        <w:t xml:space="preserve">Drugs of Abuse  | </w:t>
      </w:r>
      <w:r w:rsidRPr="00203347">
        <w:rPr>
          <w:rFonts w:ascii="Times New Roman" w:eastAsia="Times New Roman" w:hAnsi="Times New Roman" w:cs="Times New Roman"/>
          <w:i/>
          <w:color w:val="000000"/>
          <w:kern w:val="2"/>
          <w:sz w:val="20"/>
          <w:lang w:eastAsia="en-US"/>
          <w14:ligatures w14:val="standardContextual"/>
        </w:rPr>
        <w:t xml:space="preserve">A DEA Resource Guide: </w:t>
      </w:r>
      <w:r w:rsidRPr="00203347">
        <w:rPr>
          <w:rFonts w:ascii="Times New Roman" w:eastAsia="Times New Roman" w:hAnsi="Times New Roman" w:cs="Times New Roman"/>
          <w:color w:val="000000"/>
          <w:kern w:val="2"/>
          <w:sz w:val="20"/>
          <w:lang w:eastAsia="en-US"/>
          <w14:ligatures w14:val="standardContextual"/>
        </w:rPr>
        <w:t xml:space="preserve">2022 EDITION  </w:t>
      </w:r>
      <w:r w:rsidRPr="00203347">
        <w:rPr>
          <w:rFonts w:ascii="Times New Roman" w:eastAsia="Times New Roman" w:hAnsi="Times New Roman" w:cs="Times New Roman"/>
          <w:i/>
          <w:color w:val="000000"/>
          <w:kern w:val="2"/>
          <w:sz w:val="20"/>
          <w:lang w:eastAsia="en-US"/>
          <w14:ligatures w14:val="standardContextual"/>
        </w:rPr>
        <w:t xml:space="preserve"> </w:t>
      </w:r>
      <w:r w:rsidRPr="00203347">
        <w:rPr>
          <w:rFonts w:ascii="Times New Roman" w:eastAsia="Times New Roman" w:hAnsi="Times New Roman" w:cs="Times New Roman"/>
          <w:color w:val="000000"/>
          <w:kern w:val="2"/>
          <w:sz w:val="20"/>
          <w:lang w:eastAsia="en-US"/>
          <w14:ligatures w14:val="standardContextual"/>
        </w:rPr>
        <w:t>3</w:t>
      </w:r>
    </w:p>
    <w:p w14:paraId="58C835E3" w14:textId="6E442DF9" w:rsidR="00B34553" w:rsidRDefault="002A5B9D" w:rsidP="001B7376">
      <w:pPr>
        <w:spacing w:before="240" w:after="360"/>
      </w:pPr>
      <w:r>
        <w:lastRenderedPageBreak/>
        <w:t xml:space="preserve">The violation of any offense may lead to disciplinary action by NHSC, as </w:t>
      </w:r>
      <w:r w:rsidR="00F17B28">
        <w:t>well</w:t>
      </w:r>
      <w:r>
        <w:t xml:space="preserve"> as criminal prosecution.  Disciplinary and appeal procedures for employees is found in the NHSC Personnel Policy Manual.  Federal S</w:t>
      </w:r>
      <w:r w:rsidR="00F46FA0">
        <w:t>tatues are available as printed in the August 16, 1990, Federal Register as part of the final regulations for the Drug-Free Schools and Communities Act 1990.</w:t>
      </w:r>
    </w:p>
    <w:p w14:paraId="43A80749" w14:textId="608BC025" w:rsidR="00F46FA0" w:rsidRDefault="00F46FA0" w:rsidP="001B7376">
      <w:pPr>
        <w:spacing w:before="240" w:after="360"/>
      </w:pPr>
      <w:r>
        <w:t>North Dakota law prohibits furnishing</w:t>
      </w:r>
      <w:r w:rsidR="00591168">
        <w:t xml:space="preserve"> and selling alcoholic beverages to underage persons (younger than 21) or obviously intoxicated individuals.  Underage persons may not buy alcoholic beverages or possess them on campus, in public, or in places open to public view.  The penalties for violations of these laws may include substantial fines and jail.  Alcohol may not be sold without a license or permit.  State law also prohibits driving a motor vehicle under the </w:t>
      </w:r>
      <w:r w:rsidR="00C049F4">
        <w:t>influence (</w:t>
      </w:r>
      <w:r w:rsidR="00591168">
        <w:t>a blood alcohol level of .08 percent or higher creates a presumption of intoxication, but a driver can be charged even with lower blood alcohol levels); drinking or possessing an open container of alcohol while driving; and operating a bicycle while intoxicated.  Drunken driving penalties include jail or prison, fines of $1,000 or more, driver license suspension or revocation, and required drug/alcohol treatment programs.  Refusing to submit to a test for blood alcohol can result in suspension of driver license for up to 3 years.</w:t>
      </w:r>
    </w:p>
    <w:p w14:paraId="6E3D5941" w14:textId="0CF3FACE" w:rsidR="00591168" w:rsidRDefault="00591168" w:rsidP="001B7376">
      <w:pPr>
        <w:spacing w:before="240" w:after="360"/>
      </w:pPr>
      <w:r>
        <w:t>Sale or possession for sale of controlled substances, such as cocaine, methamphetamines, heroin</w:t>
      </w:r>
      <w:r w:rsidR="00756785">
        <w:t>, Ecstasy, GHB, Ketamine, LSD, PCP, marijuana, and “designer drugs,” is a felony.  Sentences are enhanced for previously convicted felons, for distribution within 1,000 feet of a school or NHSC or within 100</w:t>
      </w:r>
      <w:r w:rsidR="00F765A2">
        <w:t xml:space="preserve"> feet of a recreational facility, and for distribution to a pregnant woman or to someone under 18 by someone over 18.  Property used in drug transactions can be seized.</w:t>
      </w:r>
    </w:p>
    <w:p w14:paraId="42D6E171" w14:textId="52594C61" w:rsidR="00F765A2" w:rsidRPr="00B81FBD" w:rsidRDefault="00376C12" w:rsidP="00B81FBD">
      <w:pPr>
        <w:pStyle w:val="Heading2"/>
        <w:ind w:left="720" w:hanging="720"/>
        <w:rPr>
          <w:rFonts w:asciiTheme="minorHAnsi" w:hAnsiTheme="minorHAnsi" w:cstheme="minorHAnsi"/>
          <w:sz w:val="24"/>
          <w:szCs w:val="24"/>
        </w:rPr>
      </w:pPr>
      <w:bookmarkStart w:id="67" w:name="_Toc209014419"/>
      <w:r w:rsidRPr="00B81FBD">
        <w:rPr>
          <w:rFonts w:asciiTheme="minorHAnsi" w:hAnsiTheme="minorHAnsi" w:cstheme="minorHAnsi"/>
          <w:sz w:val="24"/>
          <w:szCs w:val="24"/>
        </w:rPr>
        <w:t>15</w:t>
      </w:r>
      <w:r w:rsidR="00B81FBD" w:rsidRPr="00B81FBD">
        <w:rPr>
          <w:rFonts w:asciiTheme="minorHAnsi" w:hAnsiTheme="minorHAnsi" w:cstheme="minorHAnsi"/>
          <w:sz w:val="24"/>
          <w:szCs w:val="24"/>
        </w:rPr>
        <w:t>.3</w:t>
      </w:r>
      <w:r w:rsidRPr="00B81FBD">
        <w:rPr>
          <w:rFonts w:asciiTheme="minorHAnsi" w:hAnsiTheme="minorHAnsi" w:cstheme="minorHAnsi"/>
          <w:sz w:val="24"/>
          <w:szCs w:val="24"/>
        </w:rPr>
        <w:tab/>
        <w:t>COLLEG</w:t>
      </w:r>
      <w:r w:rsidR="003943E6" w:rsidRPr="00B81FBD">
        <w:rPr>
          <w:rFonts w:asciiTheme="minorHAnsi" w:hAnsiTheme="minorHAnsi" w:cstheme="minorHAnsi"/>
          <w:sz w:val="24"/>
          <w:szCs w:val="24"/>
        </w:rPr>
        <w:t>E</w:t>
      </w:r>
      <w:r w:rsidRPr="00B81FBD">
        <w:rPr>
          <w:rFonts w:asciiTheme="minorHAnsi" w:hAnsiTheme="minorHAnsi" w:cstheme="minorHAnsi"/>
          <w:sz w:val="24"/>
          <w:szCs w:val="24"/>
        </w:rPr>
        <w:t xml:space="preserve"> POLICY ON AND ENFORCEMENT OF POSSESSION, USE, AND SALE OF ILLEGAL DRUGS</w:t>
      </w:r>
      <w:bookmarkEnd w:id="67"/>
    </w:p>
    <w:p w14:paraId="1C2ACBB9" w14:textId="7E13E4CE" w:rsidR="00376C12" w:rsidRDefault="00376C12" w:rsidP="001B7376">
      <w:pPr>
        <w:spacing w:before="240" w:after="360"/>
      </w:pPr>
      <w:r>
        <w:t>The NHSC campus has been designated Drug-Free.  The possession, sale, manufacture, and distribution of any controlled substance is illegal under both state and federal laws.  These laws are strictly enforced by the Campus Safety Office.  Violators of these laws are</w:t>
      </w:r>
      <w:r w:rsidR="00F20921">
        <w:t xml:space="preserve"> subject to NHSC disciplinary action (for affiliated members of the institution)</w:t>
      </w:r>
      <w:r w:rsidR="00B84A54">
        <w:t xml:space="preserve">, criminal prosecution, fine, and imprisonment.  Academic and staff personnel violating these policies may be subject to </w:t>
      </w:r>
      <w:r w:rsidR="00B84A54">
        <w:lastRenderedPageBreak/>
        <w:t>corrective action, including dismissal, under applicable NHSC policies and labor contracts, and may be referred for criminal prosecution and/or required to participate in an Employee Assistance Program or appropriate treatment program.</w:t>
      </w:r>
    </w:p>
    <w:p w14:paraId="6698A106" w14:textId="71D257BD" w:rsidR="00D40F9B" w:rsidRPr="00B81FBD" w:rsidRDefault="00221CD7" w:rsidP="00B81FBD">
      <w:pPr>
        <w:pStyle w:val="Heading2"/>
        <w:ind w:left="720" w:hanging="720"/>
        <w:rPr>
          <w:rFonts w:asciiTheme="minorHAnsi" w:hAnsiTheme="minorHAnsi" w:cstheme="minorHAnsi"/>
          <w:sz w:val="24"/>
          <w:szCs w:val="24"/>
        </w:rPr>
      </w:pPr>
      <w:bookmarkStart w:id="68" w:name="_Toc209014420"/>
      <w:r w:rsidRPr="00B81FBD">
        <w:rPr>
          <w:rFonts w:asciiTheme="minorHAnsi" w:hAnsiTheme="minorHAnsi" w:cstheme="minorHAnsi"/>
          <w:sz w:val="24"/>
          <w:szCs w:val="24"/>
        </w:rPr>
        <w:t>15.4</w:t>
      </w:r>
      <w:r w:rsidRPr="00B81FBD">
        <w:rPr>
          <w:rFonts w:asciiTheme="minorHAnsi" w:hAnsiTheme="minorHAnsi" w:cstheme="minorHAnsi"/>
          <w:sz w:val="24"/>
          <w:szCs w:val="24"/>
        </w:rPr>
        <w:tab/>
        <w:t>COLLEGE POLICY ON AND ENFORCEMENT OF POSSESSION, USE, AND SALE OF ALCOHOLIC</w:t>
      </w:r>
      <w:r w:rsidR="00A73C98" w:rsidRPr="00B81FBD">
        <w:rPr>
          <w:rFonts w:asciiTheme="minorHAnsi" w:hAnsiTheme="minorHAnsi" w:cstheme="minorHAnsi"/>
          <w:sz w:val="24"/>
          <w:szCs w:val="24"/>
        </w:rPr>
        <w:t xml:space="preserve"> BEVERAGES</w:t>
      </w:r>
      <w:bookmarkEnd w:id="68"/>
    </w:p>
    <w:p w14:paraId="2B177BF8" w14:textId="67C7DB1C" w:rsidR="00A73C98" w:rsidRDefault="00BB2793" w:rsidP="00CA2E69">
      <w:pPr>
        <w:tabs>
          <w:tab w:val="left" w:pos="0"/>
        </w:tabs>
        <w:spacing w:before="240" w:after="360"/>
      </w:pPr>
      <w:r>
        <w:t xml:space="preserve">The possession, use, and sale of alcohol on the NHSC campus is governed by the </w:t>
      </w:r>
      <w:r>
        <w:rPr>
          <w:i/>
          <w:iCs/>
        </w:rPr>
        <w:t>College</w:t>
      </w:r>
      <w:r w:rsidR="00CA2E69">
        <w:rPr>
          <w:i/>
          <w:iCs/>
        </w:rPr>
        <w:t xml:space="preserve"> </w:t>
      </w:r>
      <w:r>
        <w:rPr>
          <w:i/>
          <w:iCs/>
        </w:rPr>
        <w:t xml:space="preserve">Substance Abuse Policy, </w:t>
      </w:r>
      <w:r w:rsidR="00CA2E69">
        <w:t>federal law, North Dakota state law, and loca</w:t>
      </w:r>
      <w:r w:rsidR="00356560">
        <w:t xml:space="preserve">l county ordinances.  Laws regarding the possession, use, sale, consumption, and furnishings of alcohol are controlled by </w:t>
      </w:r>
      <w:r w:rsidR="00C049F4">
        <w:t>North</w:t>
      </w:r>
      <w:r w:rsidR="00356560">
        <w:t xml:space="preserve"> Dakota law.  The enforcement of alcohol laws on the NHSC campus is the primary</w:t>
      </w:r>
      <w:r w:rsidR="00F41C8A">
        <w:t xml:space="preserve"> responsibility of NHSC.  The possession of alcohol by anyone under 21 years of age in a public place or a place open to the public is illegal.  These laws are strictly enforced by NHSC.  Violators are subject to NHSC disciplinary action (if affiliated with the institution), criminal prosecution, fine, and imprisonment.  It is unlawful to sell, furnish, or provide alcohol to a person under the age of 21.</w:t>
      </w:r>
    </w:p>
    <w:p w14:paraId="328A3EAE" w14:textId="3FFCFD14" w:rsidR="00F41C8A" w:rsidRDefault="00030BDA" w:rsidP="00CA2E69">
      <w:pPr>
        <w:tabs>
          <w:tab w:val="left" w:pos="0"/>
        </w:tabs>
        <w:spacing w:before="240" w:after="360"/>
      </w:pPr>
      <w:r>
        <w:t xml:space="preserve">It is also a violation of the </w:t>
      </w:r>
      <w:r>
        <w:rPr>
          <w:i/>
          <w:iCs/>
        </w:rPr>
        <w:t xml:space="preserve">College Substance Abuse Policy </w:t>
      </w:r>
      <w:r>
        <w:t>for anyone to consume or possess alcohol in any public/private area of the campus without prior NHSC approval.  Students violating these policies are subject to disciplinary action, including suspension or dismissal from NHSC, and may be referred for criminal prosecution and/or required to participate in appropriate treatment programs.  Organizations or groups violating alcohol/substance policies or laws may be subject to sanctions by NHSC</w:t>
      </w:r>
      <w:r w:rsidR="00601562">
        <w:t>.</w:t>
      </w:r>
    </w:p>
    <w:p w14:paraId="219C7E54" w14:textId="006E4315" w:rsidR="006B441E" w:rsidRPr="00B81FBD" w:rsidRDefault="006B441E" w:rsidP="00B81FBD">
      <w:pPr>
        <w:pStyle w:val="Heading2"/>
        <w:ind w:left="720" w:hanging="720"/>
        <w:rPr>
          <w:rFonts w:asciiTheme="minorHAnsi" w:hAnsiTheme="minorHAnsi" w:cstheme="minorHAnsi"/>
          <w:sz w:val="24"/>
          <w:szCs w:val="24"/>
        </w:rPr>
      </w:pPr>
      <w:bookmarkStart w:id="69" w:name="_Toc209014421"/>
      <w:r w:rsidRPr="00B81FBD">
        <w:rPr>
          <w:rFonts w:asciiTheme="minorHAnsi" w:hAnsiTheme="minorHAnsi" w:cstheme="minorHAnsi"/>
          <w:sz w:val="24"/>
          <w:szCs w:val="24"/>
        </w:rPr>
        <w:t>15.</w:t>
      </w:r>
      <w:r w:rsidR="00FD36D3">
        <w:rPr>
          <w:rFonts w:asciiTheme="minorHAnsi" w:hAnsiTheme="minorHAnsi" w:cstheme="minorHAnsi"/>
          <w:sz w:val="24"/>
          <w:szCs w:val="24"/>
        </w:rPr>
        <w:t>5</w:t>
      </w:r>
      <w:r w:rsidRPr="00B81FBD">
        <w:rPr>
          <w:rFonts w:asciiTheme="minorHAnsi" w:hAnsiTheme="minorHAnsi" w:cstheme="minorHAnsi"/>
          <w:sz w:val="24"/>
          <w:szCs w:val="24"/>
        </w:rPr>
        <w:tab/>
        <w:t>DRUG AND ALCOHOL ABUSE EDUCATION PROGRAMS AND SUPPORT RESOURCES</w:t>
      </w:r>
      <w:bookmarkEnd w:id="69"/>
    </w:p>
    <w:p w14:paraId="4AC169C6" w14:textId="24B7447A" w:rsidR="0030369D" w:rsidRDefault="0030369D" w:rsidP="0030369D">
      <w:pPr>
        <w:tabs>
          <w:tab w:val="left" w:pos="0"/>
        </w:tabs>
        <w:spacing w:before="240" w:after="360"/>
      </w:pPr>
      <w:r>
        <w:t xml:space="preserve">NHSC students and employees with substance abuse concerns (including alcohol) create a health and safety risk for themselves and for others.  Substance use can </w:t>
      </w:r>
      <w:r w:rsidR="00B34309">
        <w:t>also result in a wide range of serious emotional</w:t>
      </w:r>
      <w:r w:rsidR="0049468D">
        <w:t xml:space="preserve"> and behavioral problems.  NHSC makes available to students and employees a variety of alcohol and substance use programs.  These programs are designed to discourage the use of illegal substances and to educate students and others as to the merits of legal and responsible alcohol consumption.</w:t>
      </w:r>
    </w:p>
    <w:p w14:paraId="6CACEC6F" w14:textId="5E50AECD" w:rsidR="0049468D" w:rsidRDefault="0049468D" w:rsidP="0030369D">
      <w:pPr>
        <w:tabs>
          <w:tab w:val="left" w:pos="0"/>
        </w:tabs>
        <w:spacing w:before="240" w:after="360"/>
      </w:pPr>
      <w:r>
        <w:lastRenderedPageBreak/>
        <w:t>NHSC’s Alcohol &amp; Drug Program (ADP)</w:t>
      </w:r>
      <w:r w:rsidR="00951197">
        <w:t xml:space="preserve"> provides counseling and referral services to students who suffer from a substance abuse</w:t>
      </w:r>
      <w:r w:rsidR="007446DE">
        <w:t xml:space="preserve"> concern.  Group and individual counseling sessions are available to students at no cost for voluntary attendance and a program fee for required attendance (i.e., referral for disciplinary sanction).  All information regarding any contact or counseling is confidential and will be treated in accordance with NHSC policies and state and federal laws.</w:t>
      </w:r>
      <w:r w:rsidR="00A91625">
        <w:t xml:space="preserve">  A student’s decisions to seek assistance will not be used in connection with any academic determination</w:t>
      </w:r>
      <w:r w:rsidR="00970BA1">
        <w:t xml:space="preserve"> or as a basis for disciplinary action.  ADP strives to create a safe, healthy, and learning-conductive</w:t>
      </w:r>
      <w:r w:rsidR="00711D20">
        <w:t xml:space="preserve"> environment through the promotion of healthy choices concerning the use of alcohol, tobacco, and other drugs.  The program emphasizes the </w:t>
      </w:r>
      <w:r w:rsidR="006E1266">
        <w:t>elimination of</w:t>
      </w:r>
      <w:r w:rsidR="00711D20">
        <w:t xml:space="preserve"> </w:t>
      </w:r>
      <w:r w:rsidR="00C46F8F">
        <w:t>harmful use, high-risk behavior, and related violence, and also offers services for students in recovery and allies who support them.</w:t>
      </w:r>
    </w:p>
    <w:p w14:paraId="4AF3D4BF" w14:textId="6D0478BF" w:rsidR="00C46F8F" w:rsidRDefault="00C46F8F" w:rsidP="0030369D">
      <w:pPr>
        <w:tabs>
          <w:tab w:val="left" w:pos="0"/>
        </w:tabs>
        <w:spacing w:before="240" w:after="360"/>
      </w:pPr>
      <w:r>
        <w:t xml:space="preserve">ADP uses a comprehensive research-based approach to substance use prevention.  NHSC’s efforts to reduce high-risk drinking and </w:t>
      </w:r>
      <w:r w:rsidR="00005E97">
        <w:t>drug use among students</w:t>
      </w:r>
      <w:r w:rsidR="001B1AD2">
        <w:t xml:space="preserve"> include </w:t>
      </w:r>
      <w:r w:rsidR="00115D80">
        <w:t>strategies</w:t>
      </w:r>
      <w:r w:rsidR="00FD1C01">
        <w:t xml:space="preserve"> such as education, prevention and early intervention, environmental management </w:t>
      </w:r>
      <w:r>
        <w:t>strategies</w:t>
      </w:r>
      <w:r w:rsidR="00005E97">
        <w:t xml:space="preserve"> on campus</w:t>
      </w:r>
      <w:r w:rsidR="00FD1C01">
        <w:t>; and policy</w:t>
      </w:r>
      <w:r w:rsidR="00385178">
        <w:t xml:space="preserve"> enforcement.  ADP works in partnership with undergraduate and graduate students, many ca</w:t>
      </w:r>
      <w:r w:rsidR="00467C3C">
        <w:t>mpus departments, and community agencies to promote a healthy and safe campus and community.  Using science and evaluation-based prevention models, the Alcohol and Other Drug Work Group makes recommendations for all programs, policy</w:t>
      </w:r>
      <w:r w:rsidR="00304325">
        <w:t>, and enforcement issues related to alcohol and other drugs.  This comprehensive effort works to reduce high-risk drinking by:</w:t>
      </w:r>
    </w:p>
    <w:p w14:paraId="52AD1953" w14:textId="2ECD4817" w:rsidR="00304325" w:rsidRDefault="000E1FFE" w:rsidP="0030369D">
      <w:pPr>
        <w:tabs>
          <w:tab w:val="left" w:pos="0"/>
        </w:tabs>
        <w:spacing w:before="240" w:after="360"/>
      </w:pPr>
      <w:r>
        <w:tab/>
        <w:t>Educating students about responsible alcohol and substance use.</w:t>
      </w:r>
    </w:p>
    <w:p w14:paraId="5C2E06EB" w14:textId="004B9CA8" w:rsidR="000E1FFE" w:rsidRDefault="000E1FFE" w:rsidP="0030369D">
      <w:pPr>
        <w:tabs>
          <w:tab w:val="left" w:pos="0"/>
        </w:tabs>
        <w:spacing w:before="240" w:after="360"/>
      </w:pPr>
      <w:r>
        <w:tab/>
        <w:t>Providing early intervention and confidential counseling for all students.</w:t>
      </w:r>
    </w:p>
    <w:p w14:paraId="06F17CD2" w14:textId="187E753D" w:rsidR="000E1FFE" w:rsidRDefault="000E1FFE" w:rsidP="005F40EE">
      <w:pPr>
        <w:tabs>
          <w:tab w:val="left" w:pos="0"/>
        </w:tabs>
        <w:spacing w:before="240" w:after="360"/>
        <w:ind w:left="720"/>
      </w:pPr>
      <w:r>
        <w:t>Alter</w:t>
      </w:r>
      <w:r w:rsidR="005F40EE">
        <w:t>ing the environment to limit access to alcohol by underage students and provide alcohol-free social options.</w:t>
      </w:r>
    </w:p>
    <w:p w14:paraId="130DD25D" w14:textId="5D71D30B" w:rsidR="005F40EE" w:rsidRDefault="0006616C" w:rsidP="005F40EE">
      <w:pPr>
        <w:tabs>
          <w:tab w:val="left" w:pos="0"/>
        </w:tabs>
        <w:spacing w:before="240" w:after="360"/>
        <w:ind w:left="720"/>
      </w:pPr>
      <w:r>
        <w:t>Ensuring compliance with substance use policies and laws, as well as consequences for policy violation.</w:t>
      </w:r>
    </w:p>
    <w:p w14:paraId="6DE60994" w14:textId="3FAF831C" w:rsidR="0006616C" w:rsidRDefault="00901229" w:rsidP="0006616C">
      <w:pPr>
        <w:tabs>
          <w:tab w:val="left" w:pos="0"/>
        </w:tabs>
        <w:spacing w:before="240" w:after="360"/>
      </w:pPr>
      <w:r>
        <w:lastRenderedPageBreak/>
        <w:t xml:space="preserve">NHSC offers all </w:t>
      </w:r>
      <w:r w:rsidR="006E1266">
        <w:t>students</w:t>
      </w:r>
      <w:r>
        <w:t xml:space="preserve"> free and confidential counseling for substance use and other addictive behaviors, gambling, device management, and screen use.  Support, information, education and referrals are provided</w:t>
      </w:r>
      <w:r w:rsidR="008E6424">
        <w:t xml:space="preserve"> in a non-judgmental environment</w:t>
      </w:r>
      <w:r w:rsidR="00FA5A28">
        <w:t>.  For appointments and additional information, call the Student Development Retention Counselor’s office at (701) 627-8036.</w:t>
      </w:r>
    </w:p>
    <w:p w14:paraId="15F6BCBC" w14:textId="45A7A374" w:rsidR="00D67B75" w:rsidRDefault="00AD5225" w:rsidP="0006616C">
      <w:pPr>
        <w:tabs>
          <w:tab w:val="left" w:pos="0"/>
        </w:tabs>
        <w:spacing w:before="240" w:after="360"/>
      </w:pPr>
      <w:bookmarkStart w:id="70" w:name="_Hlk144104200"/>
      <w:r>
        <w:t>In compliance with the Drug-Free Schools and Community Act of 1989, NHSC offers various drug and alcohol</w:t>
      </w:r>
      <w:r w:rsidR="00D973A4">
        <w:t xml:space="preserve"> use prevention, education, and intervention programs.  These services are made available to students and staff.  Below is a list and brief description of the programs that are offered to students through-out the year.</w:t>
      </w:r>
    </w:p>
    <w:p w14:paraId="5EC9918E" w14:textId="4955397D" w:rsidR="005B79D0" w:rsidRDefault="00AA3935" w:rsidP="006D7E93">
      <w:pPr>
        <w:pStyle w:val="Heading2"/>
        <w:ind w:left="720" w:hanging="720"/>
        <w:rPr>
          <w:rFonts w:asciiTheme="minorHAnsi" w:hAnsiTheme="minorHAnsi" w:cstheme="minorHAnsi"/>
          <w:sz w:val="24"/>
          <w:szCs w:val="24"/>
        </w:rPr>
      </w:pPr>
      <w:bookmarkStart w:id="71" w:name="_Toc209014422"/>
      <w:bookmarkEnd w:id="70"/>
      <w:r w:rsidRPr="00B81FBD">
        <w:rPr>
          <w:rFonts w:asciiTheme="minorHAnsi" w:hAnsiTheme="minorHAnsi" w:cstheme="minorHAnsi"/>
          <w:sz w:val="24"/>
          <w:szCs w:val="24"/>
        </w:rPr>
        <w:t>15.</w:t>
      </w:r>
      <w:r w:rsidR="00F71BFC">
        <w:rPr>
          <w:rFonts w:asciiTheme="minorHAnsi" w:hAnsiTheme="minorHAnsi" w:cstheme="minorHAnsi"/>
          <w:sz w:val="24"/>
          <w:szCs w:val="24"/>
        </w:rPr>
        <w:t>6</w:t>
      </w:r>
      <w:r w:rsidRPr="00B81FBD">
        <w:rPr>
          <w:rFonts w:asciiTheme="minorHAnsi" w:hAnsiTheme="minorHAnsi" w:cstheme="minorHAnsi"/>
          <w:sz w:val="24"/>
          <w:szCs w:val="24"/>
        </w:rPr>
        <w:tab/>
      </w:r>
      <w:r>
        <w:rPr>
          <w:rFonts w:asciiTheme="minorHAnsi" w:hAnsiTheme="minorHAnsi" w:cstheme="minorHAnsi"/>
          <w:sz w:val="24"/>
          <w:szCs w:val="24"/>
        </w:rPr>
        <w:t>Health Risks</w:t>
      </w:r>
      <w:r w:rsidR="005B79D0">
        <w:rPr>
          <w:rFonts w:asciiTheme="minorHAnsi" w:hAnsiTheme="minorHAnsi" w:cstheme="minorHAnsi"/>
          <w:sz w:val="24"/>
          <w:szCs w:val="24"/>
        </w:rPr>
        <w:t>:</w:t>
      </w:r>
      <w:bookmarkEnd w:id="71"/>
    </w:p>
    <w:p w14:paraId="74CCEB75" w14:textId="13A0D4C9" w:rsidR="006B740F" w:rsidRPr="00A4599C" w:rsidRDefault="006D7E93" w:rsidP="006D7E93">
      <w:pPr>
        <w:tabs>
          <w:tab w:val="left" w:pos="0"/>
        </w:tabs>
        <w:spacing w:before="240" w:after="360"/>
        <w:rPr>
          <w:b/>
          <w:bCs/>
        </w:rPr>
      </w:pPr>
      <w:r w:rsidRPr="00A4599C">
        <w:rPr>
          <w:b/>
          <w:bCs/>
        </w:rPr>
        <w:t>A</w:t>
      </w:r>
      <w:r w:rsidR="004E0968" w:rsidRPr="00A4599C">
        <w:rPr>
          <w:b/>
          <w:bCs/>
        </w:rPr>
        <w:t xml:space="preserve">ssociated with the </w:t>
      </w:r>
      <w:r w:rsidR="005158A1">
        <w:rPr>
          <w:b/>
          <w:bCs/>
        </w:rPr>
        <w:t>U</w:t>
      </w:r>
      <w:r w:rsidR="004E0968" w:rsidRPr="00A4599C">
        <w:rPr>
          <w:b/>
          <w:bCs/>
        </w:rPr>
        <w:t>se/</w:t>
      </w:r>
      <w:r w:rsidR="005158A1">
        <w:rPr>
          <w:b/>
          <w:bCs/>
        </w:rPr>
        <w:t>A</w:t>
      </w:r>
      <w:r w:rsidR="004E0968" w:rsidRPr="00A4599C">
        <w:rPr>
          <w:b/>
          <w:bCs/>
        </w:rPr>
        <w:t>buse of Alcohol</w:t>
      </w:r>
      <w:r w:rsidR="006B740F" w:rsidRPr="00A4599C">
        <w:rPr>
          <w:b/>
          <w:bCs/>
        </w:rPr>
        <w:t>:</w:t>
      </w:r>
    </w:p>
    <w:p w14:paraId="50AA9E50" w14:textId="0A6636CA" w:rsidR="006B740F" w:rsidRDefault="00C049F4" w:rsidP="00E03EFE">
      <w:pPr>
        <w:tabs>
          <w:tab w:val="left" w:pos="0"/>
        </w:tabs>
        <w:spacing w:before="240" w:after="360"/>
        <w:ind w:left="720"/>
      </w:pPr>
      <w:r>
        <w:t>Malnutrition; lowered</w:t>
      </w:r>
      <w:r w:rsidR="00954AF0">
        <w:t xml:space="preserve"> resistance to di</w:t>
      </w:r>
      <w:r w:rsidR="00FC7003">
        <w:t xml:space="preserve">sease; irreversible </w:t>
      </w:r>
      <w:r w:rsidR="00477368">
        <w:t>brain</w:t>
      </w:r>
      <w:r w:rsidR="00FC7003">
        <w:t xml:space="preserve"> or nervous system damage; </w:t>
      </w:r>
      <w:r w:rsidR="00F96541">
        <w:t xml:space="preserve">gastrointestinal </w:t>
      </w:r>
      <w:r w:rsidR="00477368">
        <w:t>irritation</w:t>
      </w:r>
      <w:r w:rsidR="00F96541">
        <w:t>; damage to the liver; heart</w:t>
      </w:r>
      <w:r w:rsidR="00477368">
        <w:t xml:space="preserve"> and pancreas; addiction/</w:t>
      </w:r>
      <w:r w:rsidR="00E03EFE">
        <w:t>alcoholism;</w:t>
      </w:r>
      <w:r w:rsidR="008732F2">
        <w:t xml:space="preserve"> coma; death from overdose; injury or accident; fetal alcohol syndrome</w:t>
      </w:r>
      <w:r w:rsidR="00791893">
        <w:t>.</w:t>
      </w:r>
    </w:p>
    <w:p w14:paraId="113F206E" w14:textId="4C6613BF" w:rsidR="00791893" w:rsidRPr="00A4599C" w:rsidRDefault="00791893" w:rsidP="00791893">
      <w:pPr>
        <w:tabs>
          <w:tab w:val="left" w:pos="0"/>
        </w:tabs>
        <w:spacing w:before="240" w:after="360"/>
        <w:rPr>
          <w:b/>
          <w:bCs/>
        </w:rPr>
      </w:pPr>
      <w:r w:rsidRPr="00A4599C">
        <w:rPr>
          <w:b/>
          <w:bCs/>
        </w:rPr>
        <w:t xml:space="preserve">Associated with the </w:t>
      </w:r>
      <w:r w:rsidR="005158A1">
        <w:rPr>
          <w:b/>
          <w:bCs/>
        </w:rPr>
        <w:t>U</w:t>
      </w:r>
      <w:r w:rsidRPr="00A4599C">
        <w:rPr>
          <w:b/>
          <w:bCs/>
        </w:rPr>
        <w:t>se/</w:t>
      </w:r>
      <w:r w:rsidR="005158A1">
        <w:rPr>
          <w:b/>
          <w:bCs/>
        </w:rPr>
        <w:t>A</w:t>
      </w:r>
      <w:r w:rsidRPr="00A4599C">
        <w:rPr>
          <w:b/>
          <w:bCs/>
        </w:rPr>
        <w:t xml:space="preserve">buse of </w:t>
      </w:r>
      <w:r w:rsidR="005158A1">
        <w:rPr>
          <w:b/>
          <w:bCs/>
        </w:rPr>
        <w:t>C</w:t>
      </w:r>
      <w:r w:rsidRPr="00A4599C">
        <w:rPr>
          <w:b/>
          <w:bCs/>
        </w:rPr>
        <w:t xml:space="preserve">ontrolled </w:t>
      </w:r>
      <w:r w:rsidR="005158A1">
        <w:rPr>
          <w:b/>
          <w:bCs/>
        </w:rPr>
        <w:t>S</w:t>
      </w:r>
      <w:r w:rsidRPr="00A4599C">
        <w:rPr>
          <w:b/>
          <w:bCs/>
        </w:rPr>
        <w:t>ubstances:</w:t>
      </w:r>
    </w:p>
    <w:p w14:paraId="5D15E915" w14:textId="77777777" w:rsidR="00970B97" w:rsidRDefault="00FB6379" w:rsidP="00B72650">
      <w:pPr>
        <w:tabs>
          <w:tab w:val="left" w:pos="0"/>
        </w:tabs>
        <w:spacing w:before="240" w:after="360"/>
        <w:ind w:left="720"/>
      </w:pPr>
      <w:r>
        <w:t>Damage to heart, lungs, brain and nerve cells</w:t>
      </w:r>
      <w:r w:rsidR="00242494">
        <w:t xml:space="preserve">; lung cancer; </w:t>
      </w:r>
      <w:r w:rsidR="00EA42AC">
        <w:t>m</w:t>
      </w:r>
      <w:r w:rsidR="00242494">
        <w:t>e</w:t>
      </w:r>
      <w:r w:rsidR="00EA42AC">
        <w:t>m</w:t>
      </w:r>
      <w:r w:rsidR="00242494">
        <w:t>ory disorders; interference with p</w:t>
      </w:r>
      <w:r w:rsidR="00EA42AC">
        <w:t>sychological</w:t>
      </w:r>
      <w:r w:rsidR="00B72650">
        <w:t xml:space="preserve"> maturation; temporary loss of fertility</w:t>
      </w:r>
      <w:r w:rsidR="00200C71">
        <w:t xml:space="preserve"> in both men and women; psychological dependence; </w:t>
      </w:r>
      <w:r w:rsidR="00361238">
        <w:t>bronchitis; infections</w:t>
      </w:r>
      <w:r w:rsidR="00366A24">
        <w:t>, colds and other viruses; stroke, liver problems</w:t>
      </w:r>
      <w:r w:rsidR="00830AE5">
        <w:t>, seizures; heart and respirat</w:t>
      </w:r>
      <w:r w:rsidR="00A27D6E">
        <w:t>ory failure; psychosis,</w:t>
      </w:r>
      <w:r w:rsidR="00450574">
        <w:t xml:space="preserve"> convulsions; sexual dysfunction</w:t>
      </w:r>
      <w:r w:rsidR="00AB676F">
        <w:t xml:space="preserve">.  </w:t>
      </w:r>
    </w:p>
    <w:p w14:paraId="1CD084C4" w14:textId="053B2BA5" w:rsidR="00970B97" w:rsidRDefault="00AB676F" w:rsidP="00B72650">
      <w:pPr>
        <w:tabs>
          <w:tab w:val="left" w:pos="0"/>
        </w:tabs>
        <w:spacing w:before="240" w:after="360"/>
        <w:ind w:left="720"/>
      </w:pPr>
      <w:r>
        <w:t>For users who share/use unsterile need</w:t>
      </w:r>
      <w:r w:rsidR="00EB4765">
        <w:t xml:space="preserve">les:  </w:t>
      </w:r>
      <w:r w:rsidR="00A4599C">
        <w:t>T</w:t>
      </w:r>
      <w:r w:rsidR="00EB4765">
        <w:t>etanus; hepatitis; tubercul</w:t>
      </w:r>
      <w:r w:rsidR="00802470">
        <w:t xml:space="preserve">osis; </w:t>
      </w:r>
      <w:r w:rsidR="00970B97">
        <w:t>HIV/Aids</w:t>
      </w:r>
      <w:r w:rsidR="00802470">
        <w:t xml:space="preserve">.  </w:t>
      </w:r>
      <w:r w:rsidR="00970B97">
        <w:t xml:space="preserve"> </w:t>
      </w:r>
    </w:p>
    <w:p w14:paraId="1704FD4E" w14:textId="05575887" w:rsidR="00BB466E" w:rsidRDefault="00802470" w:rsidP="00B72650">
      <w:pPr>
        <w:tabs>
          <w:tab w:val="left" w:pos="0"/>
        </w:tabs>
        <w:spacing w:before="240" w:after="360"/>
        <w:ind w:left="720"/>
      </w:pPr>
      <w:r>
        <w:t>For preg</w:t>
      </w:r>
      <w:r w:rsidR="0075619B">
        <w:t xml:space="preserve">nant women:  </w:t>
      </w:r>
      <w:r w:rsidR="00A4599C">
        <w:t>M</w:t>
      </w:r>
      <w:r w:rsidR="0075619B">
        <w:t>iscarriage; still</w:t>
      </w:r>
      <w:r w:rsidR="008D4B27">
        <w:t xml:space="preserve">births; premature labor or delivery; </w:t>
      </w:r>
      <w:r w:rsidR="00970B97">
        <w:t>hemorrhaging</w:t>
      </w:r>
      <w:r w:rsidR="00BF7F79">
        <w:t>.</w:t>
      </w:r>
      <w:r w:rsidR="00970B97">
        <w:t xml:space="preserve"> </w:t>
      </w:r>
    </w:p>
    <w:p w14:paraId="446AB7B6" w14:textId="44044AF8" w:rsidR="00FB6379" w:rsidRDefault="00BB466E" w:rsidP="00B72650">
      <w:pPr>
        <w:tabs>
          <w:tab w:val="left" w:pos="0"/>
        </w:tabs>
        <w:spacing w:before="240" w:after="360"/>
        <w:ind w:left="720"/>
      </w:pPr>
      <w:r>
        <w:t>For cocaine babies:  irritability</w:t>
      </w:r>
      <w:r w:rsidR="00495E55">
        <w:t xml:space="preserve">; unresponsiveness; stroke; malformed kidneys and </w:t>
      </w:r>
      <w:r w:rsidR="00354A8E">
        <w:t>genitals</w:t>
      </w:r>
      <w:r w:rsidR="00495E55">
        <w:t>; se</w:t>
      </w:r>
      <w:r w:rsidR="00354A8E">
        <w:t>izures; SIDS.</w:t>
      </w:r>
      <w:r w:rsidR="00450574">
        <w:t xml:space="preserve"> </w:t>
      </w:r>
      <w:r w:rsidR="00830AE5">
        <w:t xml:space="preserve"> </w:t>
      </w:r>
    </w:p>
    <w:p w14:paraId="30C6BCF8" w14:textId="265826FB" w:rsidR="00900D36" w:rsidRDefault="00900D36" w:rsidP="00B72650">
      <w:pPr>
        <w:tabs>
          <w:tab w:val="left" w:pos="0"/>
        </w:tabs>
        <w:spacing w:before="240" w:after="360"/>
        <w:ind w:left="720"/>
      </w:pPr>
      <w:r>
        <w:lastRenderedPageBreak/>
        <w:t>The following chart from the National Institute</w:t>
      </w:r>
      <w:r w:rsidR="001654A6">
        <w:t xml:space="preserve"> on Drug Abuse provides several definition</w:t>
      </w:r>
      <w:r w:rsidR="00314289">
        <w:t xml:space="preserve">s </w:t>
      </w:r>
      <w:r w:rsidR="001654A6">
        <w:t xml:space="preserve">and health </w:t>
      </w:r>
      <w:r w:rsidR="00314289">
        <w:t>risks</w:t>
      </w:r>
      <w:r w:rsidR="00284B5F">
        <w:t xml:space="preserve"> for Commonly Abused Drugs:</w:t>
      </w:r>
    </w:p>
    <w:p w14:paraId="145BA76C" w14:textId="421515C2" w:rsidR="002C3333" w:rsidRPr="00C049F4" w:rsidRDefault="004E0968" w:rsidP="00C049F4">
      <w:pPr>
        <w:tabs>
          <w:tab w:val="left" w:pos="0"/>
        </w:tabs>
        <w:spacing w:before="240" w:after="360"/>
        <w:rPr>
          <w:rFonts w:ascii="Arial" w:eastAsia="Times New Roman" w:hAnsi="Arial" w:cs="Arial"/>
          <w:color w:val="0072C6" w:themeColor="accent1"/>
        </w:rPr>
      </w:pPr>
      <w:r w:rsidRPr="00C049F4">
        <w:rPr>
          <w:rFonts w:ascii="Arial" w:hAnsi="Arial" w:cs="Arial"/>
        </w:rPr>
        <w:t xml:space="preserve"> </w:t>
      </w:r>
      <w:r w:rsidR="002C3333" w:rsidRPr="00C049F4">
        <w:rPr>
          <w:rFonts w:ascii="Arial" w:eastAsia="Times New Roman" w:hAnsi="Arial" w:cs="Arial"/>
          <w:color w:val="0072C6" w:themeColor="accent1"/>
        </w:rPr>
        <w:t>Source: National Institute on Drug Abuse: h</w:t>
      </w:r>
      <w:hyperlink r:id="rId31" w:history="1">
        <w:r w:rsidR="002C3333" w:rsidRPr="00C049F4">
          <w:rPr>
            <w:rStyle w:val="Hyperlink"/>
            <w:rFonts w:ascii="Arial" w:eastAsia="Times New Roman" w:hAnsi="Arial" w:cs="Arial"/>
            <w:color w:val="0072C6" w:themeColor="accent1"/>
          </w:rPr>
          <w:t>ttp://www.drugabuse.g</w:t>
        </w:r>
      </w:hyperlink>
      <w:hyperlink r:id="rId32" w:history="1">
        <w:r w:rsidR="002C3333" w:rsidRPr="00C049F4">
          <w:rPr>
            <w:rStyle w:val="Hyperlink"/>
            <w:rFonts w:ascii="Arial" w:eastAsia="Times New Roman" w:hAnsi="Arial" w:cs="Arial"/>
            <w:color w:val="0072C6" w:themeColor="accent1"/>
          </w:rPr>
          <w:t>o</w:t>
        </w:r>
      </w:hyperlink>
      <w:hyperlink r:id="rId33" w:history="1">
        <w:r w:rsidR="002C3333" w:rsidRPr="00C049F4">
          <w:rPr>
            <w:rStyle w:val="Hyperlink"/>
            <w:rFonts w:ascii="Arial" w:eastAsia="Times New Roman" w:hAnsi="Arial" w:cs="Arial"/>
            <w:color w:val="0072C6" w:themeColor="accent1"/>
          </w:rPr>
          <w:t>v/drugs</w:t>
        </w:r>
      </w:hyperlink>
      <w:hyperlink r:id="rId34" w:history="1">
        <w:r w:rsidR="002C3333" w:rsidRPr="00C049F4">
          <w:rPr>
            <w:rStyle w:val="Hyperlink"/>
            <w:rFonts w:ascii="Arial" w:eastAsia="Times New Roman" w:hAnsi="Arial" w:cs="Arial"/>
            <w:color w:val="0072C6" w:themeColor="accent1"/>
          </w:rPr>
          <w:t>-</w:t>
        </w:r>
      </w:hyperlink>
      <w:hyperlink r:id="rId35" w:history="1">
        <w:r w:rsidR="002C3333" w:rsidRPr="00C049F4">
          <w:rPr>
            <w:rStyle w:val="Hyperlink"/>
            <w:rFonts w:ascii="Arial" w:eastAsia="Times New Roman" w:hAnsi="Arial" w:cs="Arial"/>
            <w:color w:val="0072C6" w:themeColor="accent1"/>
          </w:rPr>
          <w:t>abuse/commonly</w:t>
        </w:r>
      </w:hyperlink>
      <w:hyperlink r:id="rId36" w:history="1">
        <w:r w:rsidR="002C3333" w:rsidRPr="00C049F4">
          <w:rPr>
            <w:rStyle w:val="Hyperlink"/>
            <w:rFonts w:ascii="Arial" w:eastAsia="Times New Roman" w:hAnsi="Arial" w:cs="Arial"/>
            <w:color w:val="0072C6" w:themeColor="accent1"/>
          </w:rPr>
          <w:t>-</w:t>
        </w:r>
      </w:hyperlink>
      <w:hyperlink r:id="rId37" w:history="1">
        <w:r w:rsidR="002C3333" w:rsidRPr="00C049F4">
          <w:rPr>
            <w:rStyle w:val="Hyperlink"/>
            <w:rFonts w:ascii="Arial" w:eastAsia="Times New Roman" w:hAnsi="Arial" w:cs="Arial"/>
            <w:color w:val="0072C6" w:themeColor="accent1"/>
          </w:rPr>
          <w:t>abused</w:t>
        </w:r>
      </w:hyperlink>
      <w:hyperlink r:id="rId38" w:history="1">
        <w:r w:rsidR="002C3333" w:rsidRPr="00C049F4">
          <w:rPr>
            <w:rStyle w:val="Hyperlink"/>
            <w:rFonts w:ascii="Arial" w:eastAsia="Times New Roman" w:hAnsi="Arial" w:cs="Arial"/>
            <w:color w:val="0072C6" w:themeColor="accent1"/>
          </w:rPr>
          <w:t>-</w:t>
        </w:r>
      </w:hyperlink>
      <w:hyperlink r:id="rId39" w:history="1">
        <w:r w:rsidR="002C3333" w:rsidRPr="00C049F4">
          <w:rPr>
            <w:rStyle w:val="Hyperlink"/>
            <w:rFonts w:ascii="Arial" w:eastAsia="Times New Roman" w:hAnsi="Arial" w:cs="Arial"/>
            <w:color w:val="0072C6" w:themeColor="accent1"/>
          </w:rPr>
          <w:t>drugs</w:t>
        </w:r>
      </w:hyperlink>
      <w:hyperlink r:id="rId40" w:history="1">
        <w:r w:rsidR="002C3333" w:rsidRPr="00C049F4">
          <w:rPr>
            <w:rStyle w:val="Hyperlink"/>
            <w:rFonts w:ascii="Arial" w:eastAsia="Times New Roman" w:hAnsi="Arial" w:cs="Arial"/>
            <w:color w:val="0072C6" w:themeColor="accent1"/>
          </w:rPr>
          <w:t>-</w:t>
        </w:r>
      </w:hyperlink>
      <w:hyperlink r:id="rId41" w:history="1">
        <w:r w:rsidR="002C3333" w:rsidRPr="00C049F4">
          <w:rPr>
            <w:rStyle w:val="Hyperlink"/>
            <w:rFonts w:ascii="Arial" w:eastAsia="Times New Roman" w:hAnsi="Arial" w:cs="Arial"/>
            <w:color w:val="0072C6" w:themeColor="accent1"/>
          </w:rPr>
          <w:t>charts</w:t>
        </w:r>
      </w:hyperlink>
      <w:hyperlink r:id="rId42" w:history="1">
        <w:r w:rsidR="002C3333" w:rsidRPr="00C049F4">
          <w:rPr>
            <w:rStyle w:val="Hyperlink"/>
            <w:rFonts w:ascii="Arial" w:eastAsia="Times New Roman" w:hAnsi="Arial" w:cs="Arial"/>
            <w:color w:val="0072C6" w:themeColor="accent1"/>
          </w:rPr>
          <w:t xml:space="preserve"> </w:t>
        </w:r>
      </w:hyperlink>
      <w:r w:rsidR="002C3333" w:rsidRPr="00C049F4">
        <w:rPr>
          <w:rFonts w:ascii="Arial" w:eastAsia="Times New Roman" w:hAnsi="Arial" w:cs="Arial"/>
          <w:color w:val="0072C6" w:themeColor="accent1"/>
        </w:rPr>
        <w:t xml:space="preserve"> </w:t>
      </w:r>
    </w:p>
    <w:tbl>
      <w:tblPr>
        <w:tblStyle w:val="TableGrid0"/>
        <w:tblW w:w="10170" w:type="dxa"/>
        <w:tblInd w:w="-5" w:type="dxa"/>
        <w:tblCellMar>
          <w:top w:w="7" w:type="dxa"/>
          <w:left w:w="106" w:type="dxa"/>
          <w:right w:w="104" w:type="dxa"/>
        </w:tblCellMar>
        <w:tblLook w:val="04A0" w:firstRow="1" w:lastRow="0" w:firstColumn="1" w:lastColumn="0" w:noHBand="0" w:noVBand="1"/>
      </w:tblPr>
      <w:tblGrid>
        <w:gridCol w:w="2332"/>
        <w:gridCol w:w="7838"/>
      </w:tblGrid>
      <w:tr w:rsidR="002C3333" w14:paraId="35A37F9B" w14:textId="77777777" w:rsidTr="002C3333">
        <w:trPr>
          <w:trHeight w:val="212"/>
        </w:trPr>
        <w:tc>
          <w:tcPr>
            <w:tcW w:w="2332" w:type="dxa"/>
            <w:tcBorders>
              <w:top w:val="single" w:sz="4" w:space="0" w:color="000000"/>
              <w:left w:val="single" w:sz="4" w:space="0" w:color="000000"/>
              <w:bottom w:val="single" w:sz="4" w:space="0" w:color="000000"/>
              <w:right w:val="nil"/>
            </w:tcBorders>
            <w:shd w:val="clear" w:color="auto" w:fill="A6B4E4" w:themeFill="text2" w:themeFillTint="40"/>
            <w:hideMark/>
          </w:tcPr>
          <w:p w14:paraId="0013F288" w14:textId="77777777" w:rsidR="002C3333" w:rsidRDefault="002C3333">
            <w:pPr>
              <w:rPr>
                <w:color w:val="000000"/>
              </w:rPr>
            </w:pPr>
            <w:r>
              <w:rPr>
                <w:rFonts w:ascii="Times New Roman" w:eastAsia="Times New Roman" w:hAnsi="Times New Roman" w:cs="Times New Roman"/>
                <w:b/>
                <w:sz w:val="18"/>
              </w:rPr>
              <w:t>Alcohol</w:t>
            </w:r>
            <w:r>
              <w:rPr>
                <w:rFonts w:ascii="Times New Roman" w:eastAsia="Times New Roman" w:hAnsi="Times New Roman" w:cs="Times New Roman"/>
                <w:sz w:val="18"/>
              </w:rPr>
              <w:t xml:space="preserve"> </w:t>
            </w:r>
          </w:p>
        </w:tc>
        <w:tc>
          <w:tcPr>
            <w:tcW w:w="7838" w:type="dxa"/>
            <w:tcBorders>
              <w:top w:val="single" w:sz="4" w:space="0" w:color="000000"/>
              <w:left w:val="nil"/>
              <w:bottom w:val="single" w:sz="4" w:space="0" w:color="000000"/>
              <w:right w:val="single" w:sz="4" w:space="0" w:color="000000"/>
            </w:tcBorders>
            <w:shd w:val="clear" w:color="auto" w:fill="A6B4E4" w:themeFill="text2" w:themeFillTint="40"/>
          </w:tcPr>
          <w:p w14:paraId="184BF931" w14:textId="77777777" w:rsidR="002C3333" w:rsidRDefault="002C3333"/>
        </w:tc>
      </w:tr>
      <w:tr w:rsidR="002C3333" w14:paraId="110C8DC5" w14:textId="77777777" w:rsidTr="002C3333">
        <w:trPr>
          <w:trHeight w:val="1878"/>
        </w:trPr>
        <w:tc>
          <w:tcPr>
            <w:tcW w:w="2332" w:type="dxa"/>
            <w:tcBorders>
              <w:top w:val="single" w:sz="4" w:space="0" w:color="000000"/>
              <w:left w:val="single" w:sz="4" w:space="0" w:color="000000"/>
              <w:bottom w:val="single" w:sz="4" w:space="0" w:color="000000"/>
              <w:right w:val="single" w:sz="4" w:space="0" w:color="000000"/>
            </w:tcBorders>
            <w:hideMark/>
          </w:tcPr>
          <w:p w14:paraId="5C632448" w14:textId="77777777" w:rsidR="002C3333" w:rsidRDefault="002C3333">
            <w:r>
              <w:rPr>
                <w:rFonts w:ascii="Times New Roman" w:eastAsia="Times New Roman" w:hAnsi="Times New Roman" w:cs="Times New Roman"/>
                <w:b/>
                <w:sz w:val="18"/>
              </w:rPr>
              <w:t>Possible Health Effects</w:t>
            </w:r>
            <w:r>
              <w:rPr>
                <w:rFonts w:ascii="Times New Roman" w:eastAsia="Times New Roman" w:hAnsi="Times New Roman" w:cs="Times New Roman"/>
                <w:sz w:val="18"/>
              </w:rPr>
              <w:t xml:space="preserve"> </w:t>
            </w:r>
          </w:p>
        </w:tc>
        <w:tc>
          <w:tcPr>
            <w:tcW w:w="7838" w:type="dxa"/>
            <w:tcBorders>
              <w:top w:val="single" w:sz="4" w:space="0" w:color="000000"/>
              <w:left w:val="single" w:sz="4" w:space="0" w:color="000000"/>
              <w:bottom w:val="single" w:sz="4" w:space="0" w:color="000000"/>
              <w:right w:val="single" w:sz="4" w:space="0" w:color="000000"/>
            </w:tcBorders>
            <w:hideMark/>
          </w:tcPr>
          <w:p w14:paraId="6273D704" w14:textId="77777777" w:rsidR="002C3333" w:rsidRDefault="002C3333">
            <w:pPr>
              <w:ind w:left="1"/>
            </w:pPr>
            <w:r>
              <w:rPr>
                <w:rFonts w:ascii="Times New Roman" w:eastAsia="Times New Roman" w:hAnsi="Times New Roman" w:cs="Times New Roman"/>
                <w:sz w:val="18"/>
              </w:rPr>
              <w:t xml:space="preserve">Drinking too much – on a single occasion or over time – can take a serious toll on your health. According to the National institute on Alcohol Abuse and Alcoholism, alcohol can interfere with the healthy functioning of various parts of your body and cause problems with your brain, heart, liver, pancreas, and immune system. It may increase your risk of developing certain cancers such as mouth, esophagus, throat, liver, and/or breast. Alcohol can disrupt fetal development at any stage during a pregnancy. Drinking during pregnancy can cause brain damage, leading to a range of developmental, cognitive, and behavioral problems, which can appear at any time during childhood.  Fetal Alcohol Spectrum Disorders (FASD) is the umbrella term for the different diagnoses. Combining alcohol with many of the drugs listed below increases the negative health risks associated with the drugs. </w:t>
            </w:r>
          </w:p>
        </w:tc>
      </w:tr>
    </w:tbl>
    <w:p w14:paraId="29A785D3" w14:textId="77777777" w:rsidR="002C3333" w:rsidRDefault="002C3333" w:rsidP="002C3333">
      <w:pPr>
        <w:spacing w:after="0"/>
        <w:ind w:left="5"/>
        <w:rPr>
          <w:rFonts w:ascii="Calibri" w:eastAsia="Calibri" w:hAnsi="Calibri" w:cs="Calibri"/>
          <w:color w:val="000000"/>
          <w:kern w:val="2"/>
          <w:sz w:val="22"/>
          <w14:ligatures w14:val="standardContextual"/>
        </w:rPr>
      </w:pPr>
      <w:r>
        <w:rPr>
          <w:sz w:val="20"/>
        </w:rPr>
        <w:tab/>
      </w:r>
    </w:p>
    <w:tbl>
      <w:tblPr>
        <w:tblStyle w:val="TableGrid0"/>
        <w:tblW w:w="10170" w:type="dxa"/>
        <w:tblInd w:w="-5" w:type="dxa"/>
        <w:tblCellMar>
          <w:top w:w="5" w:type="dxa"/>
          <w:left w:w="106" w:type="dxa"/>
          <w:right w:w="93" w:type="dxa"/>
        </w:tblCellMar>
        <w:tblLook w:val="04A0" w:firstRow="1" w:lastRow="0" w:firstColumn="1" w:lastColumn="0" w:noHBand="0" w:noVBand="1"/>
      </w:tblPr>
      <w:tblGrid>
        <w:gridCol w:w="2332"/>
        <w:gridCol w:w="3896"/>
        <w:gridCol w:w="3942"/>
      </w:tblGrid>
      <w:tr w:rsidR="002C3333" w14:paraId="21884102" w14:textId="77777777" w:rsidTr="002C3333">
        <w:trPr>
          <w:trHeight w:val="262"/>
        </w:trPr>
        <w:tc>
          <w:tcPr>
            <w:tcW w:w="2332" w:type="dxa"/>
            <w:tcBorders>
              <w:top w:val="single" w:sz="4" w:space="0" w:color="000000"/>
              <w:left w:val="single" w:sz="4" w:space="0" w:color="000000"/>
              <w:bottom w:val="single" w:sz="4" w:space="0" w:color="000000"/>
              <w:right w:val="nil"/>
            </w:tcBorders>
            <w:shd w:val="clear" w:color="auto" w:fill="A6B4E4" w:themeFill="text2" w:themeFillTint="40"/>
            <w:hideMark/>
          </w:tcPr>
          <w:p w14:paraId="1AC5BF87" w14:textId="77777777" w:rsidR="002C3333" w:rsidRDefault="002C3333">
            <w:r>
              <w:rPr>
                <w:rFonts w:ascii="Times New Roman" w:eastAsia="Times New Roman" w:hAnsi="Times New Roman" w:cs="Times New Roman"/>
                <w:b/>
                <w:sz w:val="18"/>
              </w:rPr>
              <w:t>Ayahuasca</w:t>
            </w:r>
            <w:r>
              <w:rPr>
                <w:rFonts w:ascii="Times New Roman" w:eastAsia="Times New Roman" w:hAnsi="Times New Roman" w:cs="Times New Roman"/>
                <w:sz w:val="18"/>
              </w:rPr>
              <w:t xml:space="preserve"> </w:t>
            </w:r>
          </w:p>
        </w:tc>
        <w:tc>
          <w:tcPr>
            <w:tcW w:w="3896" w:type="dxa"/>
            <w:tcBorders>
              <w:top w:val="single" w:sz="4" w:space="0" w:color="000000"/>
              <w:left w:val="nil"/>
              <w:bottom w:val="single" w:sz="4" w:space="0" w:color="000000"/>
              <w:right w:val="single" w:sz="4" w:space="0" w:color="000000"/>
            </w:tcBorders>
            <w:shd w:val="clear" w:color="auto" w:fill="A6B4E4" w:themeFill="text2" w:themeFillTint="40"/>
          </w:tcPr>
          <w:p w14:paraId="2F5169A6" w14:textId="77777777" w:rsidR="002C3333" w:rsidRDefault="002C3333"/>
        </w:tc>
        <w:tc>
          <w:tcPr>
            <w:tcW w:w="3942" w:type="dxa"/>
            <w:vMerge w:val="restart"/>
            <w:tcBorders>
              <w:top w:val="single" w:sz="4" w:space="0" w:color="000000"/>
              <w:left w:val="single" w:sz="4" w:space="0" w:color="000000"/>
              <w:bottom w:val="single" w:sz="4" w:space="0" w:color="000000"/>
              <w:right w:val="single" w:sz="4" w:space="0" w:color="000000"/>
            </w:tcBorders>
            <w:hideMark/>
          </w:tcPr>
          <w:p w14:paraId="614EC358" w14:textId="77777777" w:rsidR="002C3333" w:rsidRDefault="002C3333">
            <w:pPr>
              <w:ind w:left="2"/>
            </w:pPr>
            <w:r>
              <w:rPr>
                <w:rFonts w:ascii="Times New Roman" w:eastAsia="Times New Roman" w:hAnsi="Times New Roman" w:cs="Times New Roman"/>
                <w:b/>
                <w:sz w:val="18"/>
              </w:rPr>
              <w:t>Possible Health Effects:</w:t>
            </w:r>
            <w:r>
              <w:rPr>
                <w:rFonts w:ascii="Times New Roman" w:eastAsia="Times New Roman" w:hAnsi="Times New Roman" w:cs="Times New Roman"/>
                <w:sz w:val="18"/>
              </w:rPr>
              <w:t xml:space="preserve"> </w:t>
            </w:r>
          </w:p>
          <w:p w14:paraId="25A8F018" w14:textId="77777777" w:rsidR="002C3333" w:rsidRDefault="002C3333">
            <w:pPr>
              <w:ind w:left="2"/>
            </w:pPr>
            <w:r>
              <w:rPr>
                <w:rFonts w:ascii="Times New Roman" w:eastAsia="Times New Roman" w:hAnsi="Times New Roman" w:cs="Times New Roman"/>
                <w:sz w:val="18"/>
                <w:u w:val="single" w:color="000000"/>
              </w:rPr>
              <w:t xml:space="preserve">Short-Term: </w:t>
            </w:r>
            <w:r>
              <w:rPr>
                <w:rFonts w:ascii="Times New Roman" w:eastAsia="Times New Roman" w:hAnsi="Times New Roman" w:cs="Times New Roman"/>
                <w:sz w:val="18"/>
              </w:rPr>
              <w:t xml:space="preserve">Strong hallucinations including perceptions of otherworldly imagery, altered visual and auditory perceptions; increased blood pressure; vomiting. </w:t>
            </w:r>
          </w:p>
          <w:p w14:paraId="5D0F9C7D" w14:textId="77777777" w:rsidR="002C3333" w:rsidRDefault="002C3333">
            <w:pPr>
              <w:ind w:left="2"/>
            </w:pPr>
            <w:r>
              <w:rPr>
                <w:rFonts w:ascii="Times New Roman" w:eastAsia="Times New Roman" w:hAnsi="Times New Roman" w:cs="Times New Roman"/>
                <w:sz w:val="18"/>
                <w:u w:val="single" w:color="000000"/>
              </w:rPr>
              <w:t xml:space="preserve">Long-Term: </w:t>
            </w:r>
            <w:r>
              <w:rPr>
                <w:rFonts w:ascii="Times New Roman" w:eastAsia="Times New Roman" w:hAnsi="Times New Roman" w:cs="Times New Roman"/>
                <w:sz w:val="18"/>
              </w:rPr>
              <w:t xml:space="preserve">Unknown. </w:t>
            </w:r>
          </w:p>
          <w:p w14:paraId="3AF34419" w14:textId="77777777" w:rsidR="002C3333" w:rsidRDefault="002C3333">
            <w:pPr>
              <w:ind w:left="2"/>
            </w:pPr>
            <w:r>
              <w:rPr>
                <w:rFonts w:ascii="Times New Roman" w:eastAsia="Times New Roman" w:hAnsi="Times New Roman" w:cs="Times New Roman"/>
                <w:sz w:val="18"/>
                <w:u w:val="single" w:color="000000"/>
              </w:rPr>
              <w:t xml:space="preserve">Other Health-Related Issues: </w:t>
            </w:r>
            <w:r>
              <w:rPr>
                <w:rFonts w:ascii="Times New Roman" w:eastAsia="Times New Roman" w:hAnsi="Times New Roman" w:cs="Times New Roman"/>
                <w:sz w:val="18"/>
              </w:rPr>
              <w:t xml:space="preserve">Unknown </w:t>
            </w:r>
          </w:p>
        </w:tc>
      </w:tr>
      <w:tr w:rsidR="002C3333" w14:paraId="6D2862B3" w14:textId="77777777" w:rsidTr="002C3333">
        <w:trPr>
          <w:trHeight w:val="265"/>
        </w:trPr>
        <w:tc>
          <w:tcPr>
            <w:tcW w:w="2332" w:type="dxa"/>
            <w:tcBorders>
              <w:top w:val="single" w:sz="4" w:space="0" w:color="000000"/>
              <w:left w:val="single" w:sz="4" w:space="0" w:color="000000"/>
              <w:bottom w:val="single" w:sz="4" w:space="0" w:color="000000"/>
              <w:right w:val="single" w:sz="4" w:space="0" w:color="000000"/>
            </w:tcBorders>
            <w:hideMark/>
          </w:tcPr>
          <w:p w14:paraId="0332BFF9" w14:textId="77777777" w:rsidR="002C3333" w:rsidRDefault="002C3333">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896" w:type="dxa"/>
            <w:tcBorders>
              <w:top w:val="single" w:sz="4" w:space="0" w:color="000000"/>
              <w:left w:val="single" w:sz="4" w:space="0" w:color="000000"/>
              <w:bottom w:val="single" w:sz="4" w:space="0" w:color="000000"/>
              <w:right w:val="single" w:sz="4" w:space="0" w:color="000000"/>
            </w:tcBorders>
            <w:hideMark/>
          </w:tcPr>
          <w:p w14:paraId="4CFB698E" w14:textId="77777777" w:rsidR="002C3333" w:rsidRDefault="002C3333">
            <w:pPr>
              <w:ind w:left="1"/>
            </w:pPr>
            <w:r>
              <w:rPr>
                <w:rFonts w:ascii="Times New Roman" w:eastAsia="Times New Roman" w:hAnsi="Times New Roman" w:cs="Times New Roman"/>
                <w:sz w:val="18"/>
              </w:rPr>
              <w:t xml:space="preserve">Aya, Yagé, Hoasca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0D4BF8" w14:textId="77777777" w:rsidR="002C3333" w:rsidRDefault="002C3333">
            <w:pPr>
              <w:rPr>
                <w:rFonts w:ascii="Calibri" w:eastAsia="Calibri" w:hAnsi="Calibri" w:cs="Calibri"/>
                <w:color w:val="000000"/>
              </w:rPr>
            </w:pPr>
          </w:p>
        </w:tc>
      </w:tr>
      <w:tr w:rsidR="002C3333" w14:paraId="0572A50F" w14:textId="77777777" w:rsidTr="002C3333">
        <w:trPr>
          <w:trHeight w:val="265"/>
        </w:trPr>
        <w:tc>
          <w:tcPr>
            <w:tcW w:w="2332" w:type="dxa"/>
            <w:tcBorders>
              <w:top w:val="single" w:sz="4" w:space="0" w:color="000000"/>
              <w:left w:val="single" w:sz="4" w:space="0" w:color="000000"/>
              <w:bottom w:val="single" w:sz="4" w:space="0" w:color="000000"/>
              <w:right w:val="single" w:sz="4" w:space="0" w:color="000000"/>
            </w:tcBorders>
          </w:tcPr>
          <w:p w14:paraId="415F65AA" w14:textId="77777777" w:rsidR="002C3333" w:rsidRDefault="002C3333">
            <w:pPr>
              <w:rPr>
                <w:rFonts w:ascii="Times New Roman" w:eastAsia="Times New Roman" w:hAnsi="Times New Roman" w:cs="Times New Roman"/>
                <w:b/>
                <w:sz w:val="18"/>
              </w:rPr>
            </w:pPr>
          </w:p>
        </w:tc>
        <w:tc>
          <w:tcPr>
            <w:tcW w:w="3896" w:type="dxa"/>
            <w:tcBorders>
              <w:top w:val="single" w:sz="4" w:space="0" w:color="000000"/>
              <w:left w:val="single" w:sz="4" w:space="0" w:color="000000"/>
              <w:bottom w:val="single" w:sz="4" w:space="0" w:color="000000"/>
              <w:right w:val="single" w:sz="4" w:space="0" w:color="000000"/>
            </w:tcBorders>
          </w:tcPr>
          <w:p w14:paraId="03CBEF52" w14:textId="77777777" w:rsidR="002C3333" w:rsidRDefault="002C3333">
            <w:pPr>
              <w:ind w:left="1"/>
              <w:rPr>
                <w:rFonts w:ascii="Times New Roman" w:eastAsia="Times New Roman" w:hAnsi="Times New Roman" w:cs="Times New Roman"/>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A8D7FC" w14:textId="77777777" w:rsidR="002C3333" w:rsidRDefault="002C3333">
            <w:pPr>
              <w:rPr>
                <w:rFonts w:ascii="Calibri" w:eastAsia="Calibri" w:hAnsi="Calibri" w:cs="Calibri"/>
                <w:color w:val="000000"/>
              </w:rPr>
            </w:pPr>
          </w:p>
        </w:tc>
      </w:tr>
      <w:tr w:rsidR="002C3333" w14:paraId="12F39F53" w14:textId="77777777" w:rsidTr="002C3333">
        <w:trPr>
          <w:trHeight w:val="264"/>
        </w:trPr>
        <w:tc>
          <w:tcPr>
            <w:tcW w:w="2332" w:type="dxa"/>
            <w:tcBorders>
              <w:top w:val="single" w:sz="4" w:space="0" w:color="000000"/>
              <w:left w:val="single" w:sz="4" w:space="0" w:color="000000"/>
              <w:bottom w:val="single" w:sz="4" w:space="0" w:color="000000"/>
              <w:right w:val="single" w:sz="4" w:space="0" w:color="000000"/>
            </w:tcBorders>
            <w:hideMark/>
          </w:tcPr>
          <w:p w14:paraId="1A32E101" w14:textId="77777777" w:rsidR="002C3333" w:rsidRDefault="002C3333">
            <w:pPr>
              <w:rPr>
                <w:rFonts w:ascii="Calibri" w:eastAsia="Calibri" w:hAnsi="Calibri" w:cs="Calibri"/>
              </w:rPr>
            </w:pPr>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896" w:type="dxa"/>
            <w:tcBorders>
              <w:top w:val="single" w:sz="4" w:space="0" w:color="000000"/>
              <w:left w:val="single" w:sz="4" w:space="0" w:color="000000"/>
              <w:bottom w:val="single" w:sz="4" w:space="0" w:color="000000"/>
              <w:right w:val="single" w:sz="4" w:space="0" w:color="000000"/>
            </w:tcBorders>
            <w:hideMark/>
          </w:tcPr>
          <w:p w14:paraId="2CEEB1D1" w14:textId="77777777" w:rsidR="002C3333" w:rsidRDefault="002C3333">
            <w:pPr>
              <w:ind w:left="1"/>
            </w:pPr>
            <w:r>
              <w:rPr>
                <w:rFonts w:ascii="Times New Roman" w:eastAsia="Times New Roman" w:hAnsi="Times New Roman" w:cs="Times New Roman"/>
                <w:sz w:val="18"/>
              </w:rPr>
              <w:t xml:space="preserve">None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285938" w14:textId="77777777" w:rsidR="002C3333" w:rsidRDefault="002C3333">
            <w:pPr>
              <w:rPr>
                <w:rFonts w:ascii="Calibri" w:eastAsia="Calibri" w:hAnsi="Calibri" w:cs="Calibri"/>
                <w:color w:val="000000"/>
              </w:rPr>
            </w:pPr>
          </w:p>
        </w:tc>
      </w:tr>
      <w:tr w:rsidR="002C3333" w14:paraId="308FAAD9" w14:textId="77777777" w:rsidTr="002C3333">
        <w:trPr>
          <w:trHeight w:val="245"/>
        </w:trPr>
        <w:tc>
          <w:tcPr>
            <w:tcW w:w="2332" w:type="dxa"/>
            <w:tcBorders>
              <w:top w:val="single" w:sz="4" w:space="0" w:color="000000"/>
              <w:left w:val="single" w:sz="4" w:space="0" w:color="000000"/>
              <w:bottom w:val="single" w:sz="4" w:space="0" w:color="000000"/>
              <w:right w:val="single" w:sz="4" w:space="0" w:color="000000"/>
            </w:tcBorders>
            <w:hideMark/>
          </w:tcPr>
          <w:p w14:paraId="2733EECC" w14:textId="77777777" w:rsidR="002C3333" w:rsidRDefault="002C3333">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896" w:type="dxa"/>
            <w:tcBorders>
              <w:top w:val="single" w:sz="4" w:space="0" w:color="000000"/>
              <w:left w:val="single" w:sz="4" w:space="0" w:color="000000"/>
              <w:bottom w:val="single" w:sz="4" w:space="0" w:color="000000"/>
              <w:right w:val="single" w:sz="4" w:space="0" w:color="000000"/>
            </w:tcBorders>
            <w:hideMark/>
          </w:tcPr>
          <w:p w14:paraId="0E5CD211" w14:textId="77777777" w:rsidR="002C3333" w:rsidRDefault="002C3333">
            <w:pPr>
              <w:ind w:left="1"/>
            </w:pPr>
            <w:r>
              <w:rPr>
                <w:rFonts w:ascii="Times New Roman" w:eastAsia="Times New Roman" w:hAnsi="Times New Roman" w:cs="Times New Roman"/>
                <w:sz w:val="18"/>
              </w:rPr>
              <w:t xml:space="preserve">Brewed as tea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F3945E" w14:textId="77777777" w:rsidR="002C3333" w:rsidRDefault="002C3333">
            <w:pPr>
              <w:rPr>
                <w:rFonts w:ascii="Calibri" w:eastAsia="Calibri" w:hAnsi="Calibri" w:cs="Calibri"/>
                <w:color w:val="000000"/>
              </w:rPr>
            </w:pPr>
          </w:p>
        </w:tc>
      </w:tr>
      <w:tr w:rsidR="002C3333" w14:paraId="248A683C" w14:textId="77777777" w:rsidTr="002C3333">
        <w:trPr>
          <w:trHeight w:val="264"/>
        </w:trPr>
        <w:tc>
          <w:tcPr>
            <w:tcW w:w="2332" w:type="dxa"/>
            <w:tcBorders>
              <w:top w:val="single" w:sz="4" w:space="0" w:color="000000"/>
              <w:left w:val="single" w:sz="4" w:space="0" w:color="000000"/>
              <w:bottom w:val="single" w:sz="4" w:space="0" w:color="000000"/>
              <w:right w:val="single" w:sz="4" w:space="0" w:color="000000"/>
            </w:tcBorders>
            <w:hideMark/>
          </w:tcPr>
          <w:p w14:paraId="129A125D" w14:textId="77777777" w:rsidR="002C3333" w:rsidRDefault="002C3333">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896" w:type="dxa"/>
            <w:tcBorders>
              <w:top w:val="single" w:sz="4" w:space="0" w:color="000000"/>
              <w:left w:val="single" w:sz="4" w:space="0" w:color="000000"/>
              <w:bottom w:val="single" w:sz="4" w:space="0" w:color="000000"/>
              <w:right w:val="single" w:sz="4" w:space="0" w:color="000000"/>
            </w:tcBorders>
            <w:hideMark/>
          </w:tcPr>
          <w:p w14:paraId="3BBF30DC" w14:textId="77777777" w:rsidR="002C3333" w:rsidRDefault="002C3333">
            <w:pPr>
              <w:ind w:left="1"/>
            </w:pPr>
            <w:r>
              <w:rPr>
                <w:rFonts w:ascii="Times New Roman" w:eastAsia="Times New Roman" w:hAnsi="Times New Roman" w:cs="Times New Roman"/>
                <w:sz w:val="18"/>
              </w:rPr>
              <w:t xml:space="preserve">Swallowed as tea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C22ECE" w14:textId="77777777" w:rsidR="002C3333" w:rsidRDefault="002C3333">
            <w:pPr>
              <w:rPr>
                <w:rFonts w:ascii="Calibri" w:eastAsia="Calibri" w:hAnsi="Calibri" w:cs="Calibri"/>
                <w:color w:val="000000"/>
              </w:rPr>
            </w:pPr>
          </w:p>
        </w:tc>
      </w:tr>
      <w:tr w:rsidR="002C3333" w14:paraId="51FACB13" w14:textId="77777777" w:rsidTr="002C3333">
        <w:trPr>
          <w:trHeight w:val="422"/>
        </w:trPr>
        <w:tc>
          <w:tcPr>
            <w:tcW w:w="2332" w:type="dxa"/>
            <w:tcBorders>
              <w:top w:val="single" w:sz="4" w:space="0" w:color="000000"/>
              <w:left w:val="single" w:sz="4" w:space="0" w:color="000000"/>
              <w:bottom w:val="single" w:sz="4" w:space="0" w:color="000000"/>
              <w:right w:val="single" w:sz="4" w:space="0" w:color="000000"/>
            </w:tcBorders>
            <w:hideMark/>
          </w:tcPr>
          <w:p w14:paraId="6CCD7FA4" w14:textId="77777777" w:rsidR="002C3333" w:rsidRDefault="002C3333">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896" w:type="dxa"/>
            <w:tcBorders>
              <w:top w:val="single" w:sz="4" w:space="0" w:color="000000"/>
              <w:left w:val="single" w:sz="4" w:space="0" w:color="000000"/>
              <w:bottom w:val="single" w:sz="4" w:space="0" w:color="000000"/>
              <w:right w:val="single" w:sz="4" w:space="0" w:color="000000"/>
            </w:tcBorders>
            <w:hideMark/>
          </w:tcPr>
          <w:p w14:paraId="22A6991C" w14:textId="77777777" w:rsidR="002C3333" w:rsidRDefault="002C3333">
            <w:pPr>
              <w:ind w:left="1"/>
            </w:pPr>
            <w:r>
              <w:rPr>
                <w:rFonts w:ascii="Times New Roman" w:eastAsia="Times New Roman" w:hAnsi="Times New Roman" w:cs="Times New Roman"/>
                <w:sz w:val="18"/>
              </w:rPr>
              <w:t xml:space="preserve">DMT is Schedule I, but plants containing it are not controlled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4C9B9D" w14:textId="77777777" w:rsidR="002C3333" w:rsidRDefault="002C3333">
            <w:pPr>
              <w:rPr>
                <w:rFonts w:ascii="Calibri" w:eastAsia="Calibri" w:hAnsi="Calibri" w:cs="Calibri"/>
                <w:color w:val="000000"/>
              </w:rPr>
            </w:pPr>
          </w:p>
        </w:tc>
      </w:tr>
    </w:tbl>
    <w:p w14:paraId="1D4D6741" w14:textId="77777777" w:rsidR="002C3333" w:rsidRDefault="002C3333" w:rsidP="002C3333">
      <w:pPr>
        <w:spacing w:after="0"/>
        <w:ind w:left="5"/>
        <w:rPr>
          <w:rFonts w:ascii="Calibri" w:eastAsia="Calibri" w:hAnsi="Calibri" w:cs="Calibri"/>
          <w:color w:val="000000"/>
          <w:kern w:val="2"/>
          <w:sz w:val="22"/>
          <w14:ligatures w14:val="standardContextual"/>
        </w:rPr>
      </w:pPr>
      <w:r>
        <w:rPr>
          <w:sz w:val="20"/>
        </w:rPr>
        <w:tab/>
      </w:r>
    </w:p>
    <w:tbl>
      <w:tblPr>
        <w:tblStyle w:val="TableGrid0"/>
        <w:tblW w:w="10170" w:type="dxa"/>
        <w:tblInd w:w="-5" w:type="dxa"/>
        <w:tblCellMar>
          <w:top w:w="9" w:type="dxa"/>
          <w:left w:w="106" w:type="dxa"/>
          <w:right w:w="109" w:type="dxa"/>
        </w:tblCellMar>
        <w:tblLook w:val="04A0" w:firstRow="1" w:lastRow="0" w:firstColumn="1" w:lastColumn="0" w:noHBand="0" w:noVBand="1"/>
      </w:tblPr>
      <w:tblGrid>
        <w:gridCol w:w="2331"/>
        <w:gridCol w:w="3868"/>
        <w:gridCol w:w="3971"/>
      </w:tblGrid>
      <w:tr w:rsidR="002C3333" w14:paraId="252A6E54" w14:textId="77777777" w:rsidTr="002C3333">
        <w:trPr>
          <w:trHeight w:val="214"/>
        </w:trPr>
        <w:tc>
          <w:tcPr>
            <w:tcW w:w="6199" w:type="dxa"/>
            <w:gridSpan w:val="2"/>
            <w:tcBorders>
              <w:top w:val="single" w:sz="4" w:space="0" w:color="000000"/>
              <w:left w:val="single" w:sz="4" w:space="0" w:color="000000"/>
              <w:bottom w:val="single" w:sz="4" w:space="0" w:color="000000"/>
              <w:right w:val="single" w:sz="4" w:space="0" w:color="000000"/>
            </w:tcBorders>
            <w:shd w:val="clear" w:color="auto" w:fill="A6B4E4" w:themeFill="text2" w:themeFillTint="40"/>
            <w:hideMark/>
          </w:tcPr>
          <w:p w14:paraId="3D7EE9CD" w14:textId="77777777" w:rsidR="002C3333" w:rsidRDefault="002C3333">
            <w:r>
              <w:rPr>
                <w:rFonts w:ascii="Times New Roman" w:eastAsia="Times New Roman" w:hAnsi="Times New Roman" w:cs="Times New Roman"/>
                <w:b/>
                <w:sz w:val="18"/>
              </w:rPr>
              <w:t>Bath Salts (Synthetic Cathinones)</w:t>
            </w:r>
            <w:r>
              <w:rPr>
                <w:rFonts w:ascii="Times New Roman" w:eastAsia="Times New Roman" w:hAnsi="Times New Roman" w:cs="Times New Roman"/>
                <w:sz w:val="18"/>
              </w:rPr>
              <w:t xml:space="preserve"> </w:t>
            </w:r>
          </w:p>
        </w:tc>
        <w:tc>
          <w:tcPr>
            <w:tcW w:w="3971" w:type="dxa"/>
            <w:vMerge w:val="restart"/>
            <w:tcBorders>
              <w:top w:val="single" w:sz="4" w:space="0" w:color="000000"/>
              <w:left w:val="single" w:sz="4" w:space="0" w:color="000000"/>
              <w:bottom w:val="single" w:sz="4" w:space="0" w:color="000000"/>
              <w:right w:val="single" w:sz="4" w:space="0" w:color="000000"/>
            </w:tcBorders>
            <w:hideMark/>
          </w:tcPr>
          <w:p w14:paraId="48DC385C" w14:textId="77777777" w:rsidR="002C3333" w:rsidRDefault="002C3333">
            <w:pPr>
              <w:ind w:left="7"/>
            </w:pPr>
            <w:r>
              <w:rPr>
                <w:rFonts w:ascii="Times New Roman" w:eastAsia="Times New Roman" w:hAnsi="Times New Roman" w:cs="Times New Roman"/>
                <w:b/>
                <w:sz w:val="18"/>
              </w:rPr>
              <w:t>Possible Health Effects:</w:t>
            </w:r>
            <w:r>
              <w:rPr>
                <w:rFonts w:ascii="Times New Roman" w:eastAsia="Times New Roman" w:hAnsi="Times New Roman" w:cs="Times New Roman"/>
                <w:sz w:val="18"/>
              </w:rPr>
              <w:t xml:space="preserve"> </w:t>
            </w:r>
          </w:p>
          <w:p w14:paraId="436B07ED" w14:textId="77777777" w:rsidR="002C3333" w:rsidRDefault="002C3333">
            <w:pPr>
              <w:ind w:left="7" w:right="5"/>
            </w:pPr>
            <w:r>
              <w:rPr>
                <w:rFonts w:ascii="Times New Roman" w:eastAsia="Times New Roman" w:hAnsi="Times New Roman" w:cs="Times New Roman"/>
                <w:sz w:val="18"/>
                <w:u w:val="single" w:color="000000"/>
              </w:rPr>
              <w:t xml:space="preserve">Short-Term: </w:t>
            </w:r>
            <w:r>
              <w:rPr>
                <w:rFonts w:ascii="Times New Roman" w:eastAsia="Times New Roman" w:hAnsi="Times New Roman" w:cs="Times New Roman"/>
                <w:sz w:val="18"/>
              </w:rPr>
              <w:t xml:space="preserve">Increased heart rate and blood pressure; euphoria; increased sociability and sex drive; paranoia, agitation, and hallucinations; psychotic and violent behavior; nosebleeds; sweating; nausea, vomiting; insomnia; irritability; dizziness; depression; suicidal thoughts; panic attacks; reduced motor control; cloudy thinking. </w:t>
            </w:r>
          </w:p>
          <w:p w14:paraId="7C1BD527" w14:textId="77777777" w:rsidR="002C3333" w:rsidRDefault="002C3333">
            <w:pPr>
              <w:spacing w:after="5"/>
              <w:ind w:left="7"/>
            </w:pPr>
            <w:r>
              <w:rPr>
                <w:rFonts w:ascii="Times New Roman" w:eastAsia="Times New Roman" w:hAnsi="Times New Roman" w:cs="Times New Roman"/>
                <w:sz w:val="18"/>
                <w:u w:val="single" w:color="000000"/>
              </w:rPr>
              <w:t xml:space="preserve">Long-Term: </w:t>
            </w:r>
            <w:r>
              <w:rPr>
                <w:rFonts w:ascii="Times New Roman" w:eastAsia="Times New Roman" w:hAnsi="Times New Roman" w:cs="Times New Roman"/>
                <w:sz w:val="18"/>
              </w:rPr>
              <w:t xml:space="preserve">Breakdown of skeletal muscle tissue; kidney failure; death. </w:t>
            </w:r>
          </w:p>
          <w:p w14:paraId="52CD3300" w14:textId="77777777" w:rsidR="002C3333" w:rsidRDefault="002C3333">
            <w:pPr>
              <w:ind w:left="7"/>
            </w:pPr>
            <w:r>
              <w:rPr>
                <w:rFonts w:ascii="Times New Roman" w:eastAsia="Times New Roman" w:hAnsi="Times New Roman" w:cs="Times New Roman"/>
                <w:sz w:val="18"/>
                <w:u w:val="single" w:color="000000"/>
              </w:rPr>
              <w:t xml:space="preserve">Other Health-Related Issues: </w:t>
            </w:r>
            <w:r>
              <w:rPr>
                <w:rFonts w:ascii="Times New Roman" w:eastAsia="Times New Roman" w:hAnsi="Times New Roman" w:cs="Times New Roman"/>
                <w:sz w:val="18"/>
              </w:rPr>
              <w:t xml:space="preserve">Risk of HIV, hepatitis, and other infectious diseases from shared needles. </w:t>
            </w:r>
          </w:p>
        </w:tc>
      </w:tr>
      <w:tr w:rsidR="002C3333" w14:paraId="35BE8B35" w14:textId="77777777" w:rsidTr="002C3333">
        <w:trPr>
          <w:trHeight w:val="630"/>
        </w:trPr>
        <w:tc>
          <w:tcPr>
            <w:tcW w:w="2331" w:type="dxa"/>
            <w:tcBorders>
              <w:top w:val="single" w:sz="4" w:space="0" w:color="000000"/>
              <w:left w:val="single" w:sz="4" w:space="0" w:color="000000"/>
              <w:bottom w:val="single" w:sz="4" w:space="0" w:color="000000"/>
              <w:right w:val="single" w:sz="4" w:space="0" w:color="000000"/>
            </w:tcBorders>
            <w:hideMark/>
          </w:tcPr>
          <w:p w14:paraId="67D7527F" w14:textId="77777777" w:rsidR="002C3333" w:rsidRDefault="002C3333">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4A84C500" w14:textId="77777777" w:rsidR="002C3333" w:rsidRDefault="002C3333">
            <w:pPr>
              <w:ind w:left="1"/>
            </w:pPr>
            <w:r>
              <w:rPr>
                <w:rFonts w:ascii="Times New Roman" w:eastAsia="Times New Roman" w:hAnsi="Times New Roman" w:cs="Times New Roman"/>
                <w:sz w:val="18"/>
              </w:rPr>
              <w:t xml:space="preserve">Bloom, Cloud Nine, Cosmic Blast, Ivory Wave, </w:t>
            </w:r>
          </w:p>
          <w:p w14:paraId="62867C4C" w14:textId="77777777" w:rsidR="002C3333" w:rsidRDefault="002C3333">
            <w:pPr>
              <w:ind w:left="1"/>
            </w:pPr>
            <w:r>
              <w:rPr>
                <w:rFonts w:ascii="Times New Roman" w:eastAsia="Times New Roman" w:hAnsi="Times New Roman" w:cs="Times New Roman"/>
                <w:sz w:val="18"/>
              </w:rPr>
              <w:t xml:space="preserve">Lunar Wave, Scarface, Vanilla Sky, White Lightning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5B4DA5" w14:textId="77777777" w:rsidR="002C3333" w:rsidRDefault="002C3333">
            <w:pPr>
              <w:rPr>
                <w:rFonts w:ascii="Calibri" w:eastAsia="Calibri" w:hAnsi="Calibri" w:cs="Calibri"/>
                <w:color w:val="000000"/>
              </w:rPr>
            </w:pPr>
          </w:p>
        </w:tc>
      </w:tr>
      <w:tr w:rsidR="002C3333" w14:paraId="5D580B3B" w14:textId="77777777" w:rsidTr="002C3333">
        <w:trPr>
          <w:trHeight w:val="216"/>
        </w:trPr>
        <w:tc>
          <w:tcPr>
            <w:tcW w:w="2331" w:type="dxa"/>
            <w:tcBorders>
              <w:top w:val="single" w:sz="4" w:space="0" w:color="000000"/>
              <w:left w:val="single" w:sz="4" w:space="0" w:color="000000"/>
              <w:bottom w:val="single" w:sz="4" w:space="0" w:color="000000"/>
              <w:right w:val="single" w:sz="4" w:space="0" w:color="000000"/>
            </w:tcBorders>
            <w:hideMark/>
          </w:tcPr>
          <w:p w14:paraId="69EF490B" w14:textId="77777777" w:rsidR="002C3333" w:rsidRDefault="002C3333">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1BD20E34" w14:textId="77777777" w:rsidR="002C3333" w:rsidRDefault="002C3333">
            <w:pPr>
              <w:ind w:left="1"/>
            </w:pPr>
            <w:r>
              <w:rPr>
                <w:rFonts w:ascii="Times New Roman" w:eastAsia="Times New Roman" w:hAnsi="Times New Roman" w:cs="Times New Roman"/>
                <w:sz w:val="18"/>
              </w:rPr>
              <w:t xml:space="preserve">None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77A73F" w14:textId="77777777" w:rsidR="002C3333" w:rsidRDefault="002C3333">
            <w:pPr>
              <w:rPr>
                <w:rFonts w:ascii="Calibri" w:eastAsia="Calibri" w:hAnsi="Calibri" w:cs="Calibri"/>
                <w:color w:val="000000"/>
              </w:rPr>
            </w:pPr>
          </w:p>
        </w:tc>
      </w:tr>
      <w:tr w:rsidR="002C3333" w14:paraId="2B933474" w14:textId="77777777" w:rsidTr="002C3333">
        <w:trPr>
          <w:trHeight w:val="840"/>
        </w:trPr>
        <w:tc>
          <w:tcPr>
            <w:tcW w:w="2331" w:type="dxa"/>
            <w:tcBorders>
              <w:top w:val="single" w:sz="4" w:space="0" w:color="000000"/>
              <w:left w:val="single" w:sz="4" w:space="0" w:color="000000"/>
              <w:bottom w:val="single" w:sz="4" w:space="0" w:color="000000"/>
              <w:right w:val="single" w:sz="4" w:space="0" w:color="000000"/>
            </w:tcBorders>
            <w:hideMark/>
          </w:tcPr>
          <w:p w14:paraId="15B3AD21" w14:textId="77777777" w:rsidR="002C3333" w:rsidRDefault="002C3333">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29058489" w14:textId="77777777" w:rsidR="002C3333" w:rsidRDefault="002C3333">
            <w:pPr>
              <w:ind w:left="1"/>
            </w:pPr>
            <w:r>
              <w:rPr>
                <w:rFonts w:ascii="Times New Roman" w:eastAsia="Times New Roman" w:hAnsi="Times New Roman" w:cs="Times New Roman"/>
                <w:sz w:val="18"/>
              </w:rPr>
              <w:t xml:space="preserve">White or brown crystalline powder sold in small plastic or foil packages labeled "not for human consumption" and sometimes sold as jewelry cleaner; tablet, capsule, liquid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BA426D" w14:textId="77777777" w:rsidR="002C3333" w:rsidRDefault="002C3333">
            <w:pPr>
              <w:rPr>
                <w:rFonts w:ascii="Calibri" w:eastAsia="Calibri" w:hAnsi="Calibri" w:cs="Calibri"/>
                <w:color w:val="000000"/>
              </w:rPr>
            </w:pPr>
          </w:p>
        </w:tc>
      </w:tr>
      <w:tr w:rsidR="002C3333" w14:paraId="1D80DE61" w14:textId="77777777" w:rsidTr="002C3333">
        <w:trPr>
          <w:trHeight w:val="216"/>
        </w:trPr>
        <w:tc>
          <w:tcPr>
            <w:tcW w:w="2331" w:type="dxa"/>
            <w:tcBorders>
              <w:top w:val="single" w:sz="4" w:space="0" w:color="000000"/>
              <w:left w:val="single" w:sz="4" w:space="0" w:color="000000"/>
              <w:bottom w:val="single" w:sz="4" w:space="0" w:color="000000"/>
              <w:right w:val="single" w:sz="4" w:space="0" w:color="000000"/>
            </w:tcBorders>
            <w:hideMark/>
          </w:tcPr>
          <w:p w14:paraId="49500C59" w14:textId="77777777" w:rsidR="002C3333" w:rsidRDefault="002C3333">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1EF693BE" w14:textId="77777777" w:rsidR="002C3333" w:rsidRDefault="002C3333">
            <w:pPr>
              <w:ind w:left="1"/>
            </w:pPr>
            <w:r>
              <w:rPr>
                <w:rFonts w:ascii="Times New Roman" w:eastAsia="Times New Roman" w:hAnsi="Times New Roman" w:cs="Times New Roman"/>
                <w:sz w:val="18"/>
              </w:rPr>
              <w:t xml:space="preserve">Swallowed, snorted, or injected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8E9897" w14:textId="77777777" w:rsidR="002C3333" w:rsidRDefault="002C3333">
            <w:pPr>
              <w:rPr>
                <w:rFonts w:ascii="Calibri" w:eastAsia="Calibri" w:hAnsi="Calibri" w:cs="Calibri"/>
                <w:color w:val="000000"/>
              </w:rPr>
            </w:pPr>
          </w:p>
        </w:tc>
      </w:tr>
      <w:tr w:rsidR="002C3333" w14:paraId="226BDCB7" w14:textId="77777777" w:rsidTr="002C3333">
        <w:trPr>
          <w:trHeight w:val="427"/>
        </w:trPr>
        <w:tc>
          <w:tcPr>
            <w:tcW w:w="2331" w:type="dxa"/>
            <w:tcBorders>
              <w:top w:val="single" w:sz="4" w:space="0" w:color="000000"/>
              <w:left w:val="single" w:sz="4" w:space="0" w:color="000000"/>
              <w:bottom w:val="single" w:sz="4" w:space="0" w:color="000000"/>
              <w:right w:val="single" w:sz="4" w:space="0" w:color="000000"/>
            </w:tcBorders>
            <w:hideMark/>
          </w:tcPr>
          <w:p w14:paraId="73DFFD16" w14:textId="77777777" w:rsidR="002C3333" w:rsidRDefault="002C3333">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72FD2AA0" w14:textId="77777777" w:rsidR="002C3333" w:rsidRDefault="002C3333">
            <w:pPr>
              <w:ind w:left="1"/>
            </w:pPr>
            <w:r>
              <w:rPr>
                <w:rFonts w:ascii="Times New Roman" w:eastAsia="Times New Roman" w:hAnsi="Times New Roman" w:cs="Times New Roman"/>
                <w:sz w:val="18"/>
              </w:rPr>
              <w:t xml:space="preserve">Schedule I </w:t>
            </w:r>
          </w:p>
          <w:p w14:paraId="75594338" w14:textId="77777777" w:rsidR="002C3333" w:rsidRDefault="002C3333">
            <w:pPr>
              <w:ind w:left="1"/>
            </w:pPr>
            <w:r>
              <w:rPr>
                <w:rFonts w:ascii="Times New Roman" w:eastAsia="Times New Roman" w:hAnsi="Times New Roman" w:cs="Times New Roman"/>
                <w:sz w:val="18"/>
              </w:rPr>
              <w:t xml:space="preserve">Some formulations have been banned by the DEA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74A85C" w14:textId="77777777" w:rsidR="002C3333" w:rsidRDefault="002C3333">
            <w:pPr>
              <w:rPr>
                <w:rFonts w:ascii="Calibri" w:eastAsia="Calibri" w:hAnsi="Calibri" w:cs="Calibri"/>
                <w:color w:val="000000"/>
              </w:rPr>
            </w:pPr>
          </w:p>
        </w:tc>
      </w:tr>
    </w:tbl>
    <w:p w14:paraId="1EFF25BC" w14:textId="77777777" w:rsidR="002C3333" w:rsidRDefault="002C3333" w:rsidP="002C3333">
      <w:pPr>
        <w:spacing w:after="0"/>
        <w:ind w:left="5"/>
        <w:rPr>
          <w:rFonts w:ascii="Calibri" w:eastAsia="Calibri" w:hAnsi="Calibri" w:cs="Calibri"/>
          <w:color w:val="000000"/>
          <w:kern w:val="2"/>
          <w:sz w:val="22"/>
          <w14:ligatures w14:val="standardContextual"/>
        </w:rPr>
      </w:pPr>
      <w:r>
        <w:rPr>
          <w:sz w:val="20"/>
        </w:rPr>
        <w:tab/>
      </w:r>
    </w:p>
    <w:tbl>
      <w:tblPr>
        <w:tblStyle w:val="TableGrid0"/>
        <w:tblW w:w="10170" w:type="dxa"/>
        <w:tblInd w:w="-5" w:type="dxa"/>
        <w:tblCellMar>
          <w:top w:w="10" w:type="dxa"/>
          <w:left w:w="106" w:type="dxa"/>
          <w:right w:w="81" w:type="dxa"/>
        </w:tblCellMar>
        <w:tblLook w:val="04A0" w:firstRow="1" w:lastRow="0" w:firstColumn="1" w:lastColumn="0" w:noHBand="0" w:noVBand="1"/>
      </w:tblPr>
      <w:tblGrid>
        <w:gridCol w:w="2331"/>
        <w:gridCol w:w="3868"/>
        <w:gridCol w:w="3971"/>
      </w:tblGrid>
      <w:tr w:rsidR="002C3333" w14:paraId="7B31DAB5" w14:textId="77777777" w:rsidTr="002C3333">
        <w:trPr>
          <w:trHeight w:val="214"/>
        </w:trPr>
        <w:tc>
          <w:tcPr>
            <w:tcW w:w="2331" w:type="dxa"/>
            <w:tcBorders>
              <w:top w:val="single" w:sz="4" w:space="0" w:color="000000"/>
              <w:left w:val="single" w:sz="4" w:space="0" w:color="000000"/>
              <w:bottom w:val="single" w:sz="4" w:space="0" w:color="000000"/>
              <w:right w:val="nil"/>
            </w:tcBorders>
            <w:shd w:val="clear" w:color="auto" w:fill="A6B4E4" w:themeFill="text2" w:themeFillTint="40"/>
            <w:hideMark/>
          </w:tcPr>
          <w:p w14:paraId="3D575B30" w14:textId="77777777" w:rsidR="002C3333" w:rsidRDefault="002C3333">
            <w:r>
              <w:rPr>
                <w:rFonts w:ascii="Times New Roman" w:eastAsia="Times New Roman" w:hAnsi="Times New Roman" w:cs="Times New Roman"/>
                <w:b/>
                <w:sz w:val="18"/>
              </w:rPr>
              <w:t>Cocaine</w:t>
            </w:r>
            <w:r>
              <w:rPr>
                <w:rFonts w:ascii="Times New Roman" w:eastAsia="Times New Roman" w:hAnsi="Times New Roman" w:cs="Times New Roman"/>
                <w:sz w:val="18"/>
              </w:rPr>
              <w:t xml:space="preserve"> </w:t>
            </w:r>
          </w:p>
        </w:tc>
        <w:tc>
          <w:tcPr>
            <w:tcW w:w="3868" w:type="dxa"/>
            <w:tcBorders>
              <w:top w:val="single" w:sz="4" w:space="0" w:color="000000"/>
              <w:left w:val="nil"/>
              <w:bottom w:val="single" w:sz="4" w:space="0" w:color="000000"/>
              <w:right w:val="single" w:sz="4" w:space="0" w:color="000000"/>
            </w:tcBorders>
            <w:shd w:val="clear" w:color="auto" w:fill="A6B4E4" w:themeFill="text2" w:themeFillTint="40"/>
          </w:tcPr>
          <w:p w14:paraId="5B521BA0" w14:textId="77777777" w:rsidR="002C3333" w:rsidRDefault="002C3333"/>
        </w:tc>
        <w:tc>
          <w:tcPr>
            <w:tcW w:w="3971" w:type="dxa"/>
            <w:vMerge w:val="restart"/>
            <w:tcBorders>
              <w:top w:val="single" w:sz="4" w:space="0" w:color="000000"/>
              <w:left w:val="single" w:sz="4" w:space="0" w:color="000000"/>
              <w:bottom w:val="single" w:sz="4" w:space="0" w:color="000000"/>
              <w:right w:val="single" w:sz="4" w:space="0" w:color="000000"/>
            </w:tcBorders>
            <w:hideMark/>
          </w:tcPr>
          <w:p w14:paraId="77FAA522" w14:textId="77777777" w:rsidR="002C3333" w:rsidRDefault="002C3333">
            <w:pPr>
              <w:ind w:left="7"/>
            </w:pPr>
            <w:r>
              <w:rPr>
                <w:rFonts w:ascii="Times New Roman" w:eastAsia="Times New Roman" w:hAnsi="Times New Roman" w:cs="Times New Roman"/>
                <w:b/>
                <w:sz w:val="18"/>
              </w:rPr>
              <w:t>Possible Health Effects:</w:t>
            </w:r>
            <w:r>
              <w:rPr>
                <w:rFonts w:ascii="Times New Roman" w:eastAsia="Times New Roman" w:hAnsi="Times New Roman" w:cs="Times New Roman"/>
                <w:sz w:val="18"/>
              </w:rPr>
              <w:t xml:space="preserve"> </w:t>
            </w:r>
          </w:p>
          <w:p w14:paraId="659E0BA6" w14:textId="77777777" w:rsidR="002C3333" w:rsidRDefault="002C3333">
            <w:pPr>
              <w:ind w:left="7" w:right="46"/>
            </w:pPr>
            <w:r>
              <w:rPr>
                <w:rFonts w:ascii="Times New Roman" w:eastAsia="Times New Roman" w:hAnsi="Times New Roman" w:cs="Times New Roman"/>
                <w:sz w:val="18"/>
                <w:u w:val="single" w:color="000000"/>
              </w:rPr>
              <w:t xml:space="preserve">Short-Term: </w:t>
            </w:r>
            <w:r>
              <w:rPr>
                <w:rFonts w:ascii="Times New Roman" w:eastAsia="Times New Roman" w:hAnsi="Times New Roman" w:cs="Times New Roman"/>
                <w:sz w:val="18"/>
              </w:rPr>
              <w:t xml:space="preserve">Narrowed blood vessels; enlarged pupils; increased body temperature, heart rate, and blood pressure; headache; abdominal pain and nausea; euphoria; increased energy, alertness; insomnia, restlessness; anxiety; erratic  and violent </w:t>
            </w:r>
            <w:r>
              <w:rPr>
                <w:rFonts w:ascii="Times New Roman" w:eastAsia="Times New Roman" w:hAnsi="Times New Roman" w:cs="Times New Roman"/>
                <w:sz w:val="18"/>
              </w:rPr>
              <w:lastRenderedPageBreak/>
              <w:t xml:space="preserve">behavior, panic attacks, paranoia, psychosis; heart rhythm problems, heart attack; stroke, seizure, coma. </w:t>
            </w:r>
            <w:r>
              <w:rPr>
                <w:rFonts w:ascii="Times New Roman" w:eastAsia="Times New Roman" w:hAnsi="Times New Roman" w:cs="Times New Roman"/>
                <w:sz w:val="18"/>
                <w:u w:val="single" w:color="000000"/>
              </w:rPr>
              <w:t xml:space="preserve">Long-Term: </w:t>
            </w:r>
            <w:r>
              <w:rPr>
                <w:rFonts w:ascii="Times New Roman" w:eastAsia="Times New Roman" w:hAnsi="Times New Roman" w:cs="Times New Roman"/>
                <w:sz w:val="18"/>
              </w:rPr>
              <w:t xml:space="preserve">Loss of sense of smell, nosebleeds, nasal damage and trouble swallowing from snorting; infection and death of bowel tissue from decreased blood flow; poor nutrition and weight loss from decreased appetite. </w:t>
            </w:r>
            <w:r>
              <w:rPr>
                <w:rFonts w:ascii="Times New Roman" w:eastAsia="Times New Roman" w:hAnsi="Times New Roman" w:cs="Times New Roman"/>
                <w:sz w:val="18"/>
                <w:u w:val="single" w:color="000000"/>
              </w:rPr>
              <w:t>Other Health-Related Issues</w:t>
            </w:r>
            <w:r>
              <w:rPr>
                <w:rFonts w:ascii="Times New Roman" w:eastAsia="Times New Roman" w:hAnsi="Times New Roman" w:cs="Times New Roman"/>
                <w:sz w:val="18"/>
              </w:rPr>
              <w:t xml:space="preserve">: Pregnancy: premature delivery, low birth weight, neonatal abstinence syndrome. Risk of HIV, hepatitis, and other infectious diseases from shared needles. </w:t>
            </w:r>
          </w:p>
        </w:tc>
      </w:tr>
      <w:tr w:rsidR="002C3333" w14:paraId="5A9011FF" w14:textId="77777777" w:rsidTr="002C3333">
        <w:trPr>
          <w:trHeight w:val="428"/>
        </w:trPr>
        <w:tc>
          <w:tcPr>
            <w:tcW w:w="2331" w:type="dxa"/>
            <w:tcBorders>
              <w:top w:val="single" w:sz="4" w:space="0" w:color="000000"/>
              <w:left w:val="single" w:sz="4" w:space="0" w:color="000000"/>
              <w:bottom w:val="single" w:sz="4" w:space="0" w:color="000000"/>
              <w:right w:val="single" w:sz="4" w:space="0" w:color="000000"/>
            </w:tcBorders>
            <w:hideMark/>
          </w:tcPr>
          <w:p w14:paraId="42A0582D" w14:textId="77777777" w:rsidR="002C3333" w:rsidRDefault="002C3333">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1C638B18" w14:textId="77777777" w:rsidR="002C3333" w:rsidRDefault="002C3333">
            <w:pPr>
              <w:ind w:left="1"/>
            </w:pPr>
            <w:r>
              <w:rPr>
                <w:rFonts w:ascii="Times New Roman" w:eastAsia="Times New Roman" w:hAnsi="Times New Roman" w:cs="Times New Roman"/>
                <w:sz w:val="18"/>
              </w:rPr>
              <w:t xml:space="preserve">Blow, Bump, C, Candy, Charlie, Coke, Crack, Flake, Rock, Snow, Toot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DBDBE8" w14:textId="77777777" w:rsidR="002C3333" w:rsidRDefault="002C3333">
            <w:pPr>
              <w:rPr>
                <w:rFonts w:ascii="Calibri" w:eastAsia="Calibri" w:hAnsi="Calibri" w:cs="Calibri"/>
                <w:color w:val="000000"/>
              </w:rPr>
            </w:pPr>
          </w:p>
        </w:tc>
      </w:tr>
      <w:tr w:rsidR="002C3333" w14:paraId="4E20126E" w14:textId="77777777" w:rsidTr="002C3333">
        <w:trPr>
          <w:trHeight w:val="422"/>
        </w:trPr>
        <w:tc>
          <w:tcPr>
            <w:tcW w:w="2331" w:type="dxa"/>
            <w:tcBorders>
              <w:top w:val="single" w:sz="4" w:space="0" w:color="000000"/>
              <w:left w:val="single" w:sz="4" w:space="0" w:color="000000"/>
              <w:bottom w:val="single" w:sz="4" w:space="0" w:color="000000"/>
              <w:right w:val="single" w:sz="4" w:space="0" w:color="000000"/>
            </w:tcBorders>
            <w:hideMark/>
          </w:tcPr>
          <w:p w14:paraId="640F3EBF" w14:textId="77777777" w:rsidR="002C3333" w:rsidRDefault="002C3333">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37E720CB" w14:textId="77777777" w:rsidR="002C3333" w:rsidRDefault="002C3333">
            <w:pPr>
              <w:ind w:left="1"/>
            </w:pPr>
            <w:r>
              <w:rPr>
                <w:rFonts w:ascii="Times New Roman" w:eastAsia="Times New Roman" w:hAnsi="Times New Roman" w:cs="Times New Roman"/>
                <w:sz w:val="18"/>
              </w:rPr>
              <w:t xml:space="preserve">Cocaine hydrochloride topical solution (anesthetic rarely used in medical procedures)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E1EBCE" w14:textId="77777777" w:rsidR="002C3333" w:rsidRDefault="002C3333">
            <w:pPr>
              <w:rPr>
                <w:rFonts w:ascii="Calibri" w:eastAsia="Calibri" w:hAnsi="Calibri" w:cs="Calibri"/>
                <w:color w:val="000000"/>
              </w:rPr>
            </w:pPr>
          </w:p>
        </w:tc>
      </w:tr>
      <w:tr w:rsidR="002C3333" w14:paraId="06335A1C" w14:textId="77777777" w:rsidTr="002C3333">
        <w:trPr>
          <w:trHeight w:val="216"/>
        </w:trPr>
        <w:tc>
          <w:tcPr>
            <w:tcW w:w="2331" w:type="dxa"/>
            <w:tcBorders>
              <w:top w:val="single" w:sz="4" w:space="0" w:color="000000"/>
              <w:left w:val="single" w:sz="4" w:space="0" w:color="000000"/>
              <w:bottom w:val="single" w:sz="4" w:space="0" w:color="000000"/>
              <w:right w:val="single" w:sz="4" w:space="0" w:color="000000"/>
            </w:tcBorders>
            <w:hideMark/>
          </w:tcPr>
          <w:p w14:paraId="3F6FE293" w14:textId="77777777" w:rsidR="002C3333" w:rsidRDefault="002C3333">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4253E85C" w14:textId="77777777" w:rsidR="002C3333" w:rsidRDefault="002C3333">
            <w:pPr>
              <w:ind w:left="1"/>
            </w:pPr>
            <w:r>
              <w:rPr>
                <w:rFonts w:ascii="Times New Roman" w:eastAsia="Times New Roman" w:hAnsi="Times New Roman" w:cs="Times New Roman"/>
                <w:sz w:val="18"/>
              </w:rPr>
              <w:t xml:space="preserve">White powder, whitish rock crystal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05EBCA" w14:textId="77777777" w:rsidR="002C3333" w:rsidRDefault="002C3333">
            <w:pPr>
              <w:rPr>
                <w:rFonts w:ascii="Calibri" w:eastAsia="Calibri" w:hAnsi="Calibri" w:cs="Calibri"/>
                <w:color w:val="000000"/>
              </w:rPr>
            </w:pPr>
          </w:p>
        </w:tc>
      </w:tr>
      <w:tr w:rsidR="002C3333" w14:paraId="28F4AA40" w14:textId="77777777" w:rsidTr="002C3333">
        <w:trPr>
          <w:trHeight w:val="216"/>
        </w:trPr>
        <w:tc>
          <w:tcPr>
            <w:tcW w:w="2331" w:type="dxa"/>
            <w:tcBorders>
              <w:top w:val="single" w:sz="4" w:space="0" w:color="000000"/>
              <w:left w:val="single" w:sz="4" w:space="0" w:color="000000"/>
              <w:bottom w:val="single" w:sz="4" w:space="0" w:color="000000"/>
              <w:right w:val="single" w:sz="4" w:space="0" w:color="000000"/>
            </w:tcBorders>
            <w:hideMark/>
          </w:tcPr>
          <w:p w14:paraId="7B14A0B6" w14:textId="77777777" w:rsidR="002C3333" w:rsidRDefault="002C3333">
            <w:r>
              <w:rPr>
                <w:rFonts w:ascii="Times New Roman" w:eastAsia="Times New Roman" w:hAnsi="Times New Roman" w:cs="Times New Roman"/>
                <w:b/>
                <w:sz w:val="18"/>
              </w:rPr>
              <w:lastRenderedPageBreak/>
              <w:t>Common Ways Taken</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61665D54" w14:textId="77777777" w:rsidR="002C3333" w:rsidRDefault="002C3333">
            <w:pPr>
              <w:ind w:left="1"/>
            </w:pPr>
            <w:r>
              <w:rPr>
                <w:rFonts w:ascii="Times New Roman" w:eastAsia="Times New Roman" w:hAnsi="Times New Roman" w:cs="Times New Roman"/>
                <w:sz w:val="18"/>
              </w:rPr>
              <w:t xml:space="preserve">Snorted, smoked, injected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17390E" w14:textId="77777777" w:rsidR="002C3333" w:rsidRDefault="002C3333">
            <w:pPr>
              <w:rPr>
                <w:rFonts w:ascii="Calibri" w:eastAsia="Calibri" w:hAnsi="Calibri" w:cs="Calibri"/>
                <w:color w:val="000000"/>
              </w:rPr>
            </w:pPr>
          </w:p>
        </w:tc>
      </w:tr>
      <w:tr w:rsidR="002C3333" w14:paraId="793BD69F" w14:textId="77777777" w:rsidTr="002C3333">
        <w:trPr>
          <w:trHeight w:val="1618"/>
        </w:trPr>
        <w:tc>
          <w:tcPr>
            <w:tcW w:w="2331" w:type="dxa"/>
            <w:tcBorders>
              <w:top w:val="single" w:sz="4" w:space="0" w:color="000000"/>
              <w:left w:val="single" w:sz="4" w:space="0" w:color="000000"/>
              <w:bottom w:val="single" w:sz="4" w:space="0" w:color="000000"/>
              <w:right w:val="single" w:sz="4" w:space="0" w:color="000000"/>
            </w:tcBorders>
            <w:hideMark/>
          </w:tcPr>
          <w:p w14:paraId="4D341CC3" w14:textId="77777777" w:rsidR="002C3333" w:rsidRDefault="002C3333">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63403191" w14:textId="77777777" w:rsidR="002C3333" w:rsidRDefault="002C3333">
            <w:pPr>
              <w:ind w:left="1"/>
            </w:pPr>
            <w:r>
              <w:rPr>
                <w:rFonts w:ascii="Times New Roman" w:eastAsia="Times New Roman" w:hAnsi="Times New Roman" w:cs="Times New Roman"/>
                <w:sz w:val="18"/>
              </w:rPr>
              <w:t xml:space="preserve">Schedule II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BA6184" w14:textId="77777777" w:rsidR="002C3333" w:rsidRDefault="002C3333">
            <w:pPr>
              <w:rPr>
                <w:rFonts w:ascii="Calibri" w:eastAsia="Calibri" w:hAnsi="Calibri" w:cs="Calibri"/>
                <w:color w:val="000000"/>
              </w:rPr>
            </w:pPr>
          </w:p>
        </w:tc>
      </w:tr>
    </w:tbl>
    <w:p w14:paraId="07A59185" w14:textId="08649B9E" w:rsidR="002C3333" w:rsidRDefault="002C3333" w:rsidP="00CF6AE8">
      <w:pPr>
        <w:spacing w:after="134"/>
        <w:rPr>
          <w:rFonts w:ascii="Calibri" w:eastAsia="Calibri" w:hAnsi="Calibri" w:cs="Calibri"/>
          <w:color w:val="000000"/>
          <w:kern w:val="2"/>
          <w:sz w:val="20"/>
          <w14:ligatures w14:val="standardContextual"/>
        </w:rPr>
      </w:pPr>
    </w:p>
    <w:p w14:paraId="75CC4340" w14:textId="77777777" w:rsidR="002C3333" w:rsidRDefault="002C3333" w:rsidP="002C3333">
      <w:pPr>
        <w:spacing w:after="0"/>
        <w:rPr>
          <w:sz w:val="22"/>
        </w:rPr>
      </w:pPr>
      <w:r>
        <w:rPr>
          <w:sz w:val="20"/>
        </w:rPr>
        <w:tab/>
      </w:r>
      <w:r>
        <w:rPr>
          <w:sz w:val="20"/>
        </w:rPr>
        <w:tab/>
      </w:r>
    </w:p>
    <w:tbl>
      <w:tblPr>
        <w:tblStyle w:val="TableGrid0"/>
        <w:tblW w:w="10170" w:type="dxa"/>
        <w:tblInd w:w="-5" w:type="dxa"/>
        <w:tblCellMar>
          <w:top w:w="6" w:type="dxa"/>
          <w:left w:w="106" w:type="dxa"/>
          <w:right w:w="115" w:type="dxa"/>
        </w:tblCellMar>
        <w:tblLook w:val="04A0" w:firstRow="1" w:lastRow="0" w:firstColumn="1" w:lastColumn="0" w:noHBand="0" w:noVBand="1"/>
      </w:tblPr>
      <w:tblGrid>
        <w:gridCol w:w="2288"/>
        <w:gridCol w:w="3911"/>
        <w:gridCol w:w="3971"/>
      </w:tblGrid>
      <w:tr w:rsidR="002C3333" w14:paraId="37B468B1" w14:textId="77777777" w:rsidTr="002C3333">
        <w:trPr>
          <w:trHeight w:val="335"/>
        </w:trPr>
        <w:tc>
          <w:tcPr>
            <w:tcW w:w="2288" w:type="dxa"/>
            <w:tcBorders>
              <w:top w:val="single" w:sz="4" w:space="0" w:color="000000"/>
              <w:left w:val="single" w:sz="4" w:space="0" w:color="000000"/>
              <w:bottom w:val="single" w:sz="4" w:space="0" w:color="000000"/>
              <w:right w:val="nil"/>
            </w:tcBorders>
            <w:shd w:val="clear" w:color="auto" w:fill="A6B4E4" w:themeFill="text2" w:themeFillTint="40"/>
            <w:hideMark/>
          </w:tcPr>
          <w:p w14:paraId="383CE756" w14:textId="77777777" w:rsidR="002C3333" w:rsidRDefault="002C3333">
            <w:r>
              <w:rPr>
                <w:rFonts w:ascii="Times New Roman" w:eastAsia="Times New Roman" w:hAnsi="Times New Roman" w:cs="Times New Roman"/>
                <w:b/>
                <w:sz w:val="18"/>
              </w:rPr>
              <w:t>DMT</w:t>
            </w:r>
            <w:r>
              <w:rPr>
                <w:rFonts w:ascii="Times New Roman" w:eastAsia="Times New Roman" w:hAnsi="Times New Roman" w:cs="Times New Roman"/>
                <w:sz w:val="18"/>
              </w:rPr>
              <w:t xml:space="preserve"> </w:t>
            </w:r>
          </w:p>
        </w:tc>
        <w:tc>
          <w:tcPr>
            <w:tcW w:w="3911" w:type="dxa"/>
            <w:tcBorders>
              <w:top w:val="single" w:sz="4" w:space="0" w:color="000000"/>
              <w:left w:val="nil"/>
              <w:bottom w:val="single" w:sz="4" w:space="0" w:color="000000"/>
              <w:right w:val="single" w:sz="4" w:space="0" w:color="000000"/>
            </w:tcBorders>
            <w:shd w:val="clear" w:color="auto" w:fill="A6B4E4" w:themeFill="text2" w:themeFillTint="40"/>
          </w:tcPr>
          <w:p w14:paraId="1383961A" w14:textId="77777777" w:rsidR="002C3333" w:rsidRDefault="002C3333"/>
        </w:tc>
        <w:tc>
          <w:tcPr>
            <w:tcW w:w="3971" w:type="dxa"/>
            <w:vMerge w:val="restart"/>
            <w:tcBorders>
              <w:top w:val="single" w:sz="4" w:space="0" w:color="000000"/>
              <w:left w:val="single" w:sz="4" w:space="0" w:color="000000"/>
              <w:bottom w:val="single" w:sz="4" w:space="0" w:color="000000"/>
              <w:right w:val="single" w:sz="4" w:space="0" w:color="000000"/>
            </w:tcBorders>
            <w:hideMark/>
          </w:tcPr>
          <w:p w14:paraId="3A221E57" w14:textId="77777777" w:rsidR="002C3333" w:rsidRDefault="002C3333">
            <w:pPr>
              <w:ind w:left="7"/>
            </w:pPr>
            <w:r>
              <w:rPr>
                <w:rFonts w:ascii="Times New Roman" w:eastAsia="Times New Roman" w:hAnsi="Times New Roman" w:cs="Times New Roman"/>
                <w:b/>
                <w:sz w:val="18"/>
              </w:rPr>
              <w:t>Possible Health Effects:</w:t>
            </w:r>
            <w:r>
              <w:rPr>
                <w:rFonts w:ascii="Times New Roman" w:eastAsia="Times New Roman" w:hAnsi="Times New Roman" w:cs="Times New Roman"/>
                <w:sz w:val="18"/>
              </w:rPr>
              <w:t xml:space="preserve"> </w:t>
            </w:r>
          </w:p>
          <w:p w14:paraId="49F2C09A" w14:textId="77777777" w:rsidR="002C3333" w:rsidRDefault="002C3333">
            <w:pPr>
              <w:ind w:left="7"/>
            </w:pPr>
            <w:r>
              <w:rPr>
                <w:rFonts w:ascii="Times New Roman" w:eastAsia="Times New Roman" w:hAnsi="Times New Roman" w:cs="Times New Roman"/>
                <w:sz w:val="18"/>
                <w:u w:val="single" w:color="000000"/>
              </w:rPr>
              <w:t xml:space="preserve">Short-Term: </w:t>
            </w:r>
            <w:r>
              <w:rPr>
                <w:rFonts w:ascii="Times New Roman" w:eastAsia="Times New Roman" w:hAnsi="Times New Roman" w:cs="Times New Roman"/>
                <w:sz w:val="18"/>
              </w:rPr>
              <w:t xml:space="preserve">Intense visual hallucinations, </w:t>
            </w:r>
          </w:p>
          <w:p w14:paraId="00D3BB5A" w14:textId="77777777" w:rsidR="002C3333" w:rsidRDefault="002C3333">
            <w:pPr>
              <w:ind w:left="7"/>
            </w:pPr>
            <w:r>
              <w:rPr>
                <w:rFonts w:ascii="Times New Roman" w:eastAsia="Times New Roman" w:hAnsi="Times New Roman" w:cs="Times New Roman"/>
                <w:sz w:val="18"/>
              </w:rPr>
              <w:t xml:space="preserve">depersonalization, auditory distortions, and an altered perception of time and body image, usually resolving in 30- 45 minutes or less. Physical effects include hypertension, increased heart rate, agitation, seizures, dilated pupils, involuntary rapid eye movements, dizziness, incoordination. </w:t>
            </w:r>
          </w:p>
          <w:p w14:paraId="55C71248" w14:textId="77777777" w:rsidR="002C3333" w:rsidRDefault="002C3333">
            <w:pPr>
              <w:ind w:left="7"/>
            </w:pPr>
            <w:r>
              <w:rPr>
                <w:rFonts w:ascii="Times New Roman" w:eastAsia="Times New Roman" w:hAnsi="Times New Roman" w:cs="Times New Roman"/>
                <w:sz w:val="18"/>
                <w:u w:val="single" w:color="000000"/>
              </w:rPr>
              <w:t xml:space="preserve">Long-Term: </w:t>
            </w:r>
            <w:r>
              <w:rPr>
                <w:rFonts w:ascii="Times New Roman" w:eastAsia="Times New Roman" w:hAnsi="Times New Roman" w:cs="Times New Roman"/>
                <w:sz w:val="18"/>
              </w:rPr>
              <w:t xml:space="preserve">Unknown </w:t>
            </w:r>
          </w:p>
          <w:p w14:paraId="511542E7" w14:textId="77777777" w:rsidR="002C3333" w:rsidRDefault="002C3333">
            <w:pPr>
              <w:ind w:left="7"/>
            </w:pPr>
            <w:r>
              <w:rPr>
                <w:rFonts w:ascii="Times New Roman" w:eastAsia="Times New Roman" w:hAnsi="Times New Roman" w:cs="Times New Roman"/>
                <w:sz w:val="18"/>
                <w:u w:val="single" w:color="000000"/>
              </w:rPr>
              <w:t>Other Health-Related Issues</w:t>
            </w:r>
            <w:r>
              <w:rPr>
                <w:rFonts w:ascii="Times New Roman" w:eastAsia="Times New Roman" w:hAnsi="Times New Roman" w:cs="Times New Roman"/>
                <w:sz w:val="18"/>
              </w:rPr>
              <w:t xml:space="preserve">: At high doses, coma and respiratory arrest have occurred. </w:t>
            </w:r>
          </w:p>
        </w:tc>
      </w:tr>
      <w:tr w:rsidR="002C3333" w14:paraId="5BA4706E" w14:textId="77777777" w:rsidTr="002C3333">
        <w:trPr>
          <w:trHeight w:val="217"/>
        </w:trPr>
        <w:tc>
          <w:tcPr>
            <w:tcW w:w="2288" w:type="dxa"/>
            <w:tcBorders>
              <w:top w:val="single" w:sz="4" w:space="0" w:color="000000"/>
              <w:left w:val="single" w:sz="4" w:space="0" w:color="000000"/>
              <w:bottom w:val="single" w:sz="4" w:space="0" w:color="000000"/>
              <w:right w:val="single" w:sz="4" w:space="0" w:color="000000"/>
            </w:tcBorders>
            <w:hideMark/>
          </w:tcPr>
          <w:p w14:paraId="1F2120CD" w14:textId="77777777" w:rsidR="002C3333" w:rsidRDefault="002C3333">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911" w:type="dxa"/>
            <w:tcBorders>
              <w:top w:val="single" w:sz="4" w:space="0" w:color="000000"/>
              <w:left w:val="single" w:sz="4" w:space="0" w:color="000000"/>
              <w:bottom w:val="single" w:sz="4" w:space="0" w:color="000000"/>
              <w:right w:val="single" w:sz="4" w:space="0" w:color="000000"/>
            </w:tcBorders>
            <w:hideMark/>
          </w:tcPr>
          <w:p w14:paraId="54F40B6C" w14:textId="77777777" w:rsidR="002C3333" w:rsidRDefault="002C3333">
            <w:pPr>
              <w:ind w:left="1"/>
            </w:pPr>
            <w:r>
              <w:rPr>
                <w:rFonts w:ascii="Times New Roman" w:eastAsia="Times New Roman" w:hAnsi="Times New Roman" w:cs="Times New Roman"/>
                <w:sz w:val="18"/>
              </w:rPr>
              <w:t xml:space="preserve">DMT, Dimitri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671BDB" w14:textId="77777777" w:rsidR="002C3333" w:rsidRDefault="002C3333">
            <w:pPr>
              <w:rPr>
                <w:rFonts w:ascii="Calibri" w:eastAsia="Calibri" w:hAnsi="Calibri" w:cs="Calibri"/>
                <w:color w:val="000000"/>
              </w:rPr>
            </w:pPr>
          </w:p>
        </w:tc>
      </w:tr>
      <w:tr w:rsidR="002C3333" w14:paraId="3D0B61E5" w14:textId="77777777" w:rsidTr="002C3333">
        <w:trPr>
          <w:trHeight w:val="216"/>
        </w:trPr>
        <w:tc>
          <w:tcPr>
            <w:tcW w:w="2288" w:type="dxa"/>
            <w:tcBorders>
              <w:top w:val="single" w:sz="4" w:space="0" w:color="000000"/>
              <w:left w:val="single" w:sz="4" w:space="0" w:color="000000"/>
              <w:bottom w:val="single" w:sz="4" w:space="0" w:color="000000"/>
              <w:right w:val="single" w:sz="4" w:space="0" w:color="000000"/>
            </w:tcBorders>
            <w:hideMark/>
          </w:tcPr>
          <w:p w14:paraId="4E7A1DED" w14:textId="77777777" w:rsidR="002C3333" w:rsidRDefault="002C3333">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911" w:type="dxa"/>
            <w:tcBorders>
              <w:top w:val="single" w:sz="4" w:space="0" w:color="000000"/>
              <w:left w:val="single" w:sz="4" w:space="0" w:color="000000"/>
              <w:bottom w:val="single" w:sz="4" w:space="0" w:color="000000"/>
              <w:right w:val="single" w:sz="4" w:space="0" w:color="000000"/>
            </w:tcBorders>
            <w:hideMark/>
          </w:tcPr>
          <w:p w14:paraId="3DDAF181" w14:textId="77777777" w:rsidR="002C3333" w:rsidRDefault="002C3333">
            <w:pPr>
              <w:ind w:left="1"/>
            </w:pPr>
            <w:r>
              <w:rPr>
                <w:rFonts w:ascii="Times New Roman" w:eastAsia="Times New Roman" w:hAnsi="Times New Roman" w:cs="Times New Roman"/>
                <w:sz w:val="18"/>
              </w:rPr>
              <w:t xml:space="preserve">None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6FA4A1" w14:textId="77777777" w:rsidR="002C3333" w:rsidRDefault="002C3333">
            <w:pPr>
              <w:rPr>
                <w:rFonts w:ascii="Calibri" w:eastAsia="Calibri" w:hAnsi="Calibri" w:cs="Calibri"/>
                <w:color w:val="000000"/>
              </w:rPr>
            </w:pPr>
          </w:p>
        </w:tc>
      </w:tr>
      <w:tr w:rsidR="002C3333" w14:paraId="16F46B77" w14:textId="77777777" w:rsidTr="002C3333">
        <w:trPr>
          <w:trHeight w:val="216"/>
        </w:trPr>
        <w:tc>
          <w:tcPr>
            <w:tcW w:w="2288" w:type="dxa"/>
            <w:tcBorders>
              <w:top w:val="single" w:sz="4" w:space="0" w:color="000000"/>
              <w:left w:val="single" w:sz="4" w:space="0" w:color="000000"/>
              <w:bottom w:val="single" w:sz="4" w:space="0" w:color="000000"/>
              <w:right w:val="single" w:sz="4" w:space="0" w:color="000000"/>
            </w:tcBorders>
            <w:hideMark/>
          </w:tcPr>
          <w:p w14:paraId="78B76AE0" w14:textId="77777777" w:rsidR="002C3333" w:rsidRDefault="002C3333">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911" w:type="dxa"/>
            <w:tcBorders>
              <w:top w:val="single" w:sz="4" w:space="0" w:color="000000"/>
              <w:left w:val="single" w:sz="4" w:space="0" w:color="000000"/>
              <w:bottom w:val="single" w:sz="4" w:space="0" w:color="000000"/>
              <w:right w:val="single" w:sz="4" w:space="0" w:color="000000"/>
            </w:tcBorders>
            <w:hideMark/>
          </w:tcPr>
          <w:p w14:paraId="2F8C07AA" w14:textId="77777777" w:rsidR="002C3333" w:rsidRDefault="002C3333">
            <w:pPr>
              <w:ind w:left="1"/>
            </w:pPr>
            <w:r>
              <w:rPr>
                <w:rFonts w:ascii="Times New Roman" w:eastAsia="Times New Roman" w:hAnsi="Times New Roman" w:cs="Times New Roman"/>
                <w:sz w:val="18"/>
              </w:rPr>
              <w:t xml:space="preserve">White or yellow crystalline powder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0EDB00" w14:textId="77777777" w:rsidR="002C3333" w:rsidRDefault="002C3333">
            <w:pPr>
              <w:rPr>
                <w:rFonts w:ascii="Calibri" w:eastAsia="Calibri" w:hAnsi="Calibri" w:cs="Calibri"/>
                <w:color w:val="000000"/>
              </w:rPr>
            </w:pPr>
          </w:p>
        </w:tc>
      </w:tr>
      <w:tr w:rsidR="002C3333" w14:paraId="4A69D924" w14:textId="77777777" w:rsidTr="002C3333">
        <w:trPr>
          <w:trHeight w:val="216"/>
        </w:trPr>
        <w:tc>
          <w:tcPr>
            <w:tcW w:w="2288" w:type="dxa"/>
            <w:tcBorders>
              <w:top w:val="single" w:sz="4" w:space="0" w:color="000000"/>
              <w:left w:val="single" w:sz="4" w:space="0" w:color="000000"/>
              <w:bottom w:val="single" w:sz="4" w:space="0" w:color="000000"/>
              <w:right w:val="single" w:sz="4" w:space="0" w:color="000000"/>
            </w:tcBorders>
            <w:hideMark/>
          </w:tcPr>
          <w:p w14:paraId="39CB6D40" w14:textId="77777777" w:rsidR="002C3333" w:rsidRDefault="002C3333">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911" w:type="dxa"/>
            <w:tcBorders>
              <w:top w:val="single" w:sz="4" w:space="0" w:color="000000"/>
              <w:left w:val="single" w:sz="4" w:space="0" w:color="000000"/>
              <w:bottom w:val="single" w:sz="4" w:space="0" w:color="000000"/>
              <w:right w:val="single" w:sz="4" w:space="0" w:color="000000"/>
            </w:tcBorders>
            <w:hideMark/>
          </w:tcPr>
          <w:p w14:paraId="4C2B12DB" w14:textId="77777777" w:rsidR="002C3333" w:rsidRDefault="002C3333">
            <w:pPr>
              <w:ind w:left="1"/>
            </w:pPr>
            <w:r>
              <w:rPr>
                <w:rFonts w:ascii="Times New Roman" w:eastAsia="Times New Roman" w:hAnsi="Times New Roman" w:cs="Times New Roman"/>
                <w:sz w:val="18"/>
              </w:rPr>
              <w:t xml:space="preserve">Smoked, injected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7F36E6" w14:textId="77777777" w:rsidR="002C3333" w:rsidRDefault="002C3333">
            <w:pPr>
              <w:rPr>
                <w:rFonts w:ascii="Calibri" w:eastAsia="Calibri" w:hAnsi="Calibri" w:cs="Calibri"/>
                <w:color w:val="000000"/>
              </w:rPr>
            </w:pPr>
          </w:p>
        </w:tc>
      </w:tr>
      <w:tr w:rsidR="002C3333" w14:paraId="66A88690" w14:textId="77777777" w:rsidTr="002C3333">
        <w:trPr>
          <w:trHeight w:val="998"/>
        </w:trPr>
        <w:tc>
          <w:tcPr>
            <w:tcW w:w="2288" w:type="dxa"/>
            <w:tcBorders>
              <w:top w:val="single" w:sz="4" w:space="0" w:color="000000"/>
              <w:left w:val="single" w:sz="4" w:space="0" w:color="000000"/>
              <w:bottom w:val="single" w:sz="4" w:space="0" w:color="000000"/>
              <w:right w:val="single" w:sz="4" w:space="0" w:color="000000"/>
            </w:tcBorders>
            <w:hideMark/>
          </w:tcPr>
          <w:p w14:paraId="59BC0DC6" w14:textId="77777777" w:rsidR="002C3333" w:rsidRDefault="002C3333">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911" w:type="dxa"/>
            <w:tcBorders>
              <w:top w:val="single" w:sz="4" w:space="0" w:color="000000"/>
              <w:left w:val="single" w:sz="4" w:space="0" w:color="000000"/>
              <w:bottom w:val="single" w:sz="4" w:space="0" w:color="000000"/>
              <w:right w:val="single" w:sz="4" w:space="0" w:color="000000"/>
            </w:tcBorders>
            <w:hideMark/>
          </w:tcPr>
          <w:p w14:paraId="1E693AA6" w14:textId="77777777" w:rsidR="002C3333" w:rsidRDefault="002C3333">
            <w:pPr>
              <w:ind w:left="1"/>
            </w:pPr>
            <w:r>
              <w:rPr>
                <w:rFonts w:ascii="Times New Roman" w:eastAsia="Times New Roman" w:hAnsi="Times New Roman" w:cs="Times New Roman"/>
                <w:sz w:val="18"/>
              </w:rPr>
              <w:t xml:space="preserve">Schedule I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FBC45A" w14:textId="77777777" w:rsidR="002C3333" w:rsidRDefault="002C3333">
            <w:pPr>
              <w:rPr>
                <w:rFonts w:ascii="Calibri" w:eastAsia="Calibri" w:hAnsi="Calibri" w:cs="Calibri"/>
                <w:color w:val="000000"/>
              </w:rPr>
            </w:pPr>
          </w:p>
        </w:tc>
      </w:tr>
    </w:tbl>
    <w:p w14:paraId="6A3F224B" w14:textId="77777777" w:rsidR="002C3333" w:rsidRDefault="002C3333" w:rsidP="002C3333">
      <w:pPr>
        <w:spacing w:after="46"/>
        <w:ind w:left="5"/>
        <w:rPr>
          <w:rFonts w:ascii="Calibri" w:eastAsia="Calibri" w:hAnsi="Calibri" w:cs="Calibri"/>
          <w:color w:val="000000"/>
          <w:kern w:val="2"/>
          <w:sz w:val="22"/>
          <w14:ligatures w14:val="standardContextual"/>
        </w:rPr>
      </w:pPr>
      <w:r>
        <w:rPr>
          <w:sz w:val="9"/>
        </w:rPr>
        <w:tab/>
      </w:r>
    </w:p>
    <w:tbl>
      <w:tblPr>
        <w:tblStyle w:val="TableGrid0"/>
        <w:tblW w:w="10170" w:type="dxa"/>
        <w:tblInd w:w="-5" w:type="dxa"/>
        <w:tblCellMar>
          <w:top w:w="5" w:type="dxa"/>
          <w:left w:w="106" w:type="dxa"/>
          <w:right w:w="115" w:type="dxa"/>
        </w:tblCellMar>
        <w:tblLook w:val="04A0" w:firstRow="1" w:lastRow="0" w:firstColumn="1" w:lastColumn="0" w:noHBand="0" w:noVBand="1"/>
      </w:tblPr>
      <w:tblGrid>
        <w:gridCol w:w="2331"/>
        <w:gridCol w:w="3868"/>
        <w:gridCol w:w="3971"/>
      </w:tblGrid>
      <w:tr w:rsidR="002C3333" w14:paraId="6EEB89B4" w14:textId="77777777" w:rsidTr="002C3333">
        <w:trPr>
          <w:trHeight w:val="214"/>
        </w:trPr>
        <w:tc>
          <w:tcPr>
            <w:tcW w:w="2331" w:type="dxa"/>
            <w:tcBorders>
              <w:top w:val="single" w:sz="4" w:space="0" w:color="000000"/>
              <w:left w:val="single" w:sz="4" w:space="0" w:color="000000"/>
              <w:bottom w:val="single" w:sz="4" w:space="0" w:color="000000"/>
              <w:right w:val="nil"/>
            </w:tcBorders>
            <w:shd w:val="clear" w:color="auto" w:fill="A6B4E4" w:themeFill="text2" w:themeFillTint="40"/>
            <w:hideMark/>
          </w:tcPr>
          <w:p w14:paraId="13138B3D" w14:textId="77777777" w:rsidR="002C3333" w:rsidRDefault="002C3333">
            <w:r>
              <w:rPr>
                <w:rFonts w:ascii="Times New Roman" w:eastAsia="Times New Roman" w:hAnsi="Times New Roman" w:cs="Times New Roman"/>
                <w:b/>
                <w:sz w:val="18"/>
              </w:rPr>
              <w:t>GHB</w:t>
            </w:r>
            <w:r>
              <w:rPr>
                <w:rFonts w:ascii="Times New Roman" w:eastAsia="Times New Roman" w:hAnsi="Times New Roman" w:cs="Times New Roman"/>
                <w:sz w:val="18"/>
              </w:rPr>
              <w:t xml:space="preserve"> </w:t>
            </w:r>
          </w:p>
        </w:tc>
        <w:tc>
          <w:tcPr>
            <w:tcW w:w="3868" w:type="dxa"/>
            <w:tcBorders>
              <w:top w:val="single" w:sz="4" w:space="0" w:color="000000"/>
              <w:left w:val="nil"/>
              <w:bottom w:val="single" w:sz="4" w:space="0" w:color="000000"/>
              <w:right w:val="single" w:sz="4" w:space="0" w:color="000000"/>
            </w:tcBorders>
            <w:shd w:val="clear" w:color="auto" w:fill="A6B4E4" w:themeFill="text2" w:themeFillTint="40"/>
          </w:tcPr>
          <w:p w14:paraId="6FD15D87" w14:textId="77777777" w:rsidR="002C3333" w:rsidRDefault="002C3333"/>
        </w:tc>
        <w:tc>
          <w:tcPr>
            <w:tcW w:w="3971" w:type="dxa"/>
            <w:vMerge w:val="restart"/>
            <w:tcBorders>
              <w:top w:val="single" w:sz="4" w:space="0" w:color="000000"/>
              <w:left w:val="single" w:sz="4" w:space="0" w:color="000000"/>
              <w:bottom w:val="single" w:sz="4" w:space="0" w:color="000000"/>
              <w:right w:val="single" w:sz="4" w:space="0" w:color="000000"/>
            </w:tcBorders>
            <w:hideMark/>
          </w:tcPr>
          <w:p w14:paraId="4DFDF0FD" w14:textId="77777777" w:rsidR="002C3333" w:rsidRDefault="002C3333">
            <w:pPr>
              <w:ind w:left="7"/>
            </w:pPr>
            <w:r>
              <w:rPr>
                <w:rFonts w:ascii="Times New Roman" w:eastAsia="Times New Roman" w:hAnsi="Times New Roman" w:cs="Times New Roman"/>
                <w:b/>
                <w:sz w:val="18"/>
              </w:rPr>
              <w:t>Possible Health Effects:</w:t>
            </w:r>
            <w:r>
              <w:rPr>
                <w:rFonts w:ascii="Times New Roman" w:eastAsia="Times New Roman" w:hAnsi="Times New Roman" w:cs="Times New Roman"/>
                <w:sz w:val="18"/>
              </w:rPr>
              <w:t xml:space="preserve"> </w:t>
            </w:r>
          </w:p>
          <w:p w14:paraId="2212F7F3" w14:textId="77777777" w:rsidR="002C3333" w:rsidRDefault="002C3333">
            <w:pPr>
              <w:spacing w:after="5"/>
              <w:ind w:left="7"/>
            </w:pPr>
            <w:r>
              <w:rPr>
                <w:rFonts w:ascii="Times New Roman" w:eastAsia="Times New Roman" w:hAnsi="Times New Roman" w:cs="Times New Roman"/>
                <w:sz w:val="18"/>
                <w:u w:val="single" w:color="000000"/>
              </w:rPr>
              <w:t xml:space="preserve">Short-Term: </w:t>
            </w:r>
            <w:r>
              <w:rPr>
                <w:rFonts w:ascii="Times New Roman" w:eastAsia="Times New Roman" w:hAnsi="Times New Roman" w:cs="Times New Roman"/>
                <w:sz w:val="18"/>
              </w:rPr>
              <w:t xml:space="preserve">Euphoria, drowsiness, decreased anxiety, confusion, memory loss, hallucinations, excited and aggressive behavior, nausea, vomiting, unconsciousness, seizures, slowed heart rate and breathing, lower body </w:t>
            </w:r>
          </w:p>
          <w:p w14:paraId="4CBED72E" w14:textId="77777777" w:rsidR="002C3333" w:rsidRDefault="002C3333">
            <w:pPr>
              <w:spacing w:after="10" w:line="232" w:lineRule="auto"/>
              <w:ind w:left="7" w:right="1518"/>
            </w:pPr>
            <w:r>
              <w:rPr>
                <w:rFonts w:ascii="Times New Roman" w:eastAsia="Times New Roman" w:hAnsi="Times New Roman" w:cs="Times New Roman"/>
                <w:sz w:val="18"/>
              </w:rPr>
              <w:t xml:space="preserve">temperatures, coma, death. Long Term: Unknown. </w:t>
            </w:r>
          </w:p>
          <w:p w14:paraId="5051D880" w14:textId="77777777" w:rsidR="002C3333" w:rsidRDefault="002C3333">
            <w:pPr>
              <w:ind w:left="7"/>
            </w:pPr>
            <w:r>
              <w:rPr>
                <w:rFonts w:ascii="Times New Roman" w:eastAsia="Times New Roman" w:hAnsi="Times New Roman" w:cs="Times New Roman"/>
                <w:sz w:val="18"/>
                <w:u w:val="single" w:color="000000"/>
              </w:rPr>
              <w:t>Other Health-Related Issues</w:t>
            </w:r>
            <w:r>
              <w:rPr>
                <w:rFonts w:ascii="Times New Roman" w:eastAsia="Times New Roman" w:hAnsi="Times New Roman" w:cs="Times New Roman"/>
                <w:sz w:val="18"/>
              </w:rPr>
              <w:t xml:space="preserve">: Sometimes used as a date rape drug. </w:t>
            </w:r>
          </w:p>
        </w:tc>
      </w:tr>
      <w:tr w:rsidR="002C3333" w14:paraId="786AA9BD" w14:textId="77777777" w:rsidTr="002C3333">
        <w:trPr>
          <w:trHeight w:val="428"/>
        </w:trPr>
        <w:tc>
          <w:tcPr>
            <w:tcW w:w="2331" w:type="dxa"/>
            <w:tcBorders>
              <w:top w:val="single" w:sz="4" w:space="0" w:color="000000"/>
              <w:left w:val="single" w:sz="4" w:space="0" w:color="000000"/>
              <w:bottom w:val="single" w:sz="4" w:space="0" w:color="000000"/>
              <w:right w:val="single" w:sz="4" w:space="0" w:color="000000"/>
            </w:tcBorders>
            <w:hideMark/>
          </w:tcPr>
          <w:p w14:paraId="5D0EAB1C" w14:textId="77777777" w:rsidR="002C3333" w:rsidRDefault="002C3333">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16C74098" w14:textId="77777777" w:rsidR="002C3333" w:rsidRDefault="002C3333">
            <w:pPr>
              <w:ind w:left="1"/>
            </w:pPr>
            <w:r>
              <w:rPr>
                <w:rFonts w:ascii="Times New Roman" w:eastAsia="Times New Roman" w:hAnsi="Times New Roman" w:cs="Times New Roman"/>
                <w:sz w:val="18"/>
              </w:rPr>
              <w:t xml:space="preserve">G, Georgia Home Boy, Goop, Grievous Bodily Harm, Liquid Ecstasy, Liquid X, Soap, Scoop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05BE83" w14:textId="77777777" w:rsidR="002C3333" w:rsidRDefault="002C3333">
            <w:pPr>
              <w:rPr>
                <w:rFonts w:ascii="Calibri" w:eastAsia="Calibri" w:hAnsi="Calibri" w:cs="Calibri"/>
                <w:color w:val="000000"/>
              </w:rPr>
            </w:pPr>
          </w:p>
        </w:tc>
      </w:tr>
      <w:tr w:rsidR="002C3333" w14:paraId="5DB2921D" w14:textId="77777777" w:rsidTr="002C3333">
        <w:trPr>
          <w:trHeight w:val="422"/>
        </w:trPr>
        <w:tc>
          <w:tcPr>
            <w:tcW w:w="2331" w:type="dxa"/>
            <w:tcBorders>
              <w:top w:val="single" w:sz="4" w:space="0" w:color="000000"/>
              <w:left w:val="single" w:sz="4" w:space="0" w:color="000000"/>
              <w:bottom w:val="single" w:sz="4" w:space="0" w:color="000000"/>
              <w:right w:val="single" w:sz="4" w:space="0" w:color="000000"/>
            </w:tcBorders>
            <w:hideMark/>
          </w:tcPr>
          <w:p w14:paraId="2EFEA522" w14:textId="77777777" w:rsidR="002C3333" w:rsidRDefault="002C3333">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7A11CB5C" w14:textId="77777777" w:rsidR="002C3333" w:rsidRDefault="002C3333">
            <w:pPr>
              <w:ind w:left="1"/>
            </w:pPr>
            <w:r>
              <w:rPr>
                <w:rFonts w:ascii="Times New Roman" w:eastAsia="Times New Roman" w:hAnsi="Times New Roman" w:cs="Times New Roman"/>
                <w:sz w:val="18"/>
              </w:rPr>
              <w:t xml:space="preserve">Gamma-hydroxybutyrate or sodium oxybate (Xyrem®)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B3899A" w14:textId="77777777" w:rsidR="002C3333" w:rsidRDefault="002C3333">
            <w:pPr>
              <w:rPr>
                <w:rFonts w:ascii="Calibri" w:eastAsia="Calibri" w:hAnsi="Calibri" w:cs="Calibri"/>
                <w:color w:val="000000"/>
              </w:rPr>
            </w:pPr>
          </w:p>
        </w:tc>
      </w:tr>
      <w:tr w:rsidR="002C3333" w14:paraId="50D856EA" w14:textId="77777777" w:rsidTr="002C3333">
        <w:trPr>
          <w:trHeight w:val="216"/>
        </w:trPr>
        <w:tc>
          <w:tcPr>
            <w:tcW w:w="2331" w:type="dxa"/>
            <w:tcBorders>
              <w:top w:val="single" w:sz="4" w:space="0" w:color="000000"/>
              <w:left w:val="single" w:sz="4" w:space="0" w:color="000000"/>
              <w:bottom w:val="single" w:sz="4" w:space="0" w:color="000000"/>
              <w:right w:val="single" w:sz="4" w:space="0" w:color="000000"/>
            </w:tcBorders>
            <w:hideMark/>
          </w:tcPr>
          <w:p w14:paraId="269C5314" w14:textId="77777777" w:rsidR="002C3333" w:rsidRDefault="002C3333">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562BF95C" w14:textId="77777777" w:rsidR="002C3333" w:rsidRDefault="002C3333">
            <w:pPr>
              <w:ind w:left="1"/>
            </w:pPr>
            <w:r>
              <w:rPr>
                <w:rFonts w:ascii="Times New Roman" w:eastAsia="Times New Roman" w:hAnsi="Times New Roman" w:cs="Times New Roman"/>
                <w:sz w:val="18"/>
              </w:rPr>
              <w:t xml:space="preserve">Colorless liquid, white powder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0A291E" w14:textId="77777777" w:rsidR="002C3333" w:rsidRDefault="002C3333">
            <w:pPr>
              <w:rPr>
                <w:rFonts w:ascii="Calibri" w:eastAsia="Calibri" w:hAnsi="Calibri" w:cs="Calibri"/>
                <w:color w:val="000000"/>
              </w:rPr>
            </w:pPr>
          </w:p>
        </w:tc>
      </w:tr>
      <w:tr w:rsidR="002C3333" w14:paraId="263CBD43" w14:textId="77777777" w:rsidTr="002C3333">
        <w:trPr>
          <w:trHeight w:val="427"/>
        </w:trPr>
        <w:tc>
          <w:tcPr>
            <w:tcW w:w="2331" w:type="dxa"/>
            <w:tcBorders>
              <w:top w:val="single" w:sz="4" w:space="0" w:color="000000"/>
              <w:left w:val="single" w:sz="4" w:space="0" w:color="000000"/>
              <w:bottom w:val="single" w:sz="4" w:space="0" w:color="000000"/>
              <w:right w:val="single" w:sz="4" w:space="0" w:color="000000"/>
            </w:tcBorders>
            <w:hideMark/>
          </w:tcPr>
          <w:p w14:paraId="168B21F5" w14:textId="77777777" w:rsidR="002C3333" w:rsidRDefault="002C3333">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72A26A66" w14:textId="77777777" w:rsidR="002C3333" w:rsidRDefault="002C3333">
            <w:pPr>
              <w:ind w:left="1"/>
            </w:pPr>
            <w:r>
              <w:rPr>
                <w:rFonts w:ascii="Times New Roman" w:eastAsia="Times New Roman" w:hAnsi="Times New Roman" w:cs="Times New Roman"/>
                <w:sz w:val="18"/>
              </w:rPr>
              <w:t xml:space="preserve">Swallowed (often combined with alcohol or other beverages)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D8C64F" w14:textId="77777777" w:rsidR="002C3333" w:rsidRDefault="002C3333">
            <w:pPr>
              <w:rPr>
                <w:rFonts w:ascii="Calibri" w:eastAsia="Calibri" w:hAnsi="Calibri" w:cs="Calibri"/>
                <w:color w:val="000000"/>
              </w:rPr>
            </w:pPr>
          </w:p>
        </w:tc>
      </w:tr>
      <w:tr w:rsidR="002C3333" w14:paraId="5F7447A7" w14:textId="77777777" w:rsidTr="002C3333">
        <w:trPr>
          <w:trHeight w:val="216"/>
        </w:trPr>
        <w:tc>
          <w:tcPr>
            <w:tcW w:w="2331" w:type="dxa"/>
            <w:tcBorders>
              <w:top w:val="single" w:sz="4" w:space="0" w:color="000000"/>
              <w:left w:val="single" w:sz="4" w:space="0" w:color="000000"/>
              <w:bottom w:val="single" w:sz="4" w:space="0" w:color="000000"/>
              <w:right w:val="single" w:sz="4" w:space="0" w:color="000000"/>
            </w:tcBorders>
            <w:hideMark/>
          </w:tcPr>
          <w:p w14:paraId="033570C9" w14:textId="77777777" w:rsidR="002C3333" w:rsidRDefault="002C3333">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34348066" w14:textId="77777777" w:rsidR="002C3333" w:rsidRDefault="002C3333">
            <w:pPr>
              <w:ind w:left="1"/>
            </w:pPr>
            <w:r>
              <w:rPr>
                <w:rFonts w:ascii="Times New Roman" w:eastAsia="Times New Roman" w:hAnsi="Times New Roman" w:cs="Times New Roman"/>
                <w:sz w:val="18"/>
              </w:rPr>
              <w:t xml:space="preserve">Schedule I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2E976E" w14:textId="77777777" w:rsidR="002C3333" w:rsidRDefault="002C3333">
            <w:pPr>
              <w:rPr>
                <w:rFonts w:ascii="Calibri" w:eastAsia="Calibri" w:hAnsi="Calibri" w:cs="Calibri"/>
                <w:color w:val="000000"/>
              </w:rPr>
            </w:pPr>
          </w:p>
        </w:tc>
      </w:tr>
    </w:tbl>
    <w:p w14:paraId="0AEDB2B4" w14:textId="77777777" w:rsidR="002C3333" w:rsidRDefault="002C3333" w:rsidP="002C3333">
      <w:pPr>
        <w:spacing w:after="0"/>
        <w:ind w:left="5"/>
        <w:rPr>
          <w:rFonts w:ascii="Calibri" w:eastAsia="Calibri" w:hAnsi="Calibri" w:cs="Calibri"/>
          <w:color w:val="000000"/>
          <w:kern w:val="2"/>
          <w:sz w:val="22"/>
          <w14:ligatures w14:val="standardContextual"/>
        </w:rPr>
      </w:pPr>
      <w:r>
        <w:rPr>
          <w:sz w:val="20"/>
        </w:rPr>
        <w:tab/>
      </w:r>
    </w:p>
    <w:tbl>
      <w:tblPr>
        <w:tblStyle w:val="TableGrid0"/>
        <w:tblW w:w="10170" w:type="dxa"/>
        <w:tblInd w:w="-5" w:type="dxa"/>
        <w:tblCellMar>
          <w:top w:w="5" w:type="dxa"/>
          <w:left w:w="106" w:type="dxa"/>
          <w:right w:w="115" w:type="dxa"/>
        </w:tblCellMar>
        <w:tblLook w:val="04A0" w:firstRow="1" w:lastRow="0" w:firstColumn="1" w:lastColumn="0" w:noHBand="0" w:noVBand="1"/>
      </w:tblPr>
      <w:tblGrid>
        <w:gridCol w:w="2331"/>
        <w:gridCol w:w="3868"/>
        <w:gridCol w:w="3971"/>
      </w:tblGrid>
      <w:tr w:rsidR="002C3333" w14:paraId="400C4B73" w14:textId="77777777" w:rsidTr="002C3333">
        <w:trPr>
          <w:trHeight w:val="327"/>
        </w:trPr>
        <w:tc>
          <w:tcPr>
            <w:tcW w:w="6199" w:type="dxa"/>
            <w:gridSpan w:val="2"/>
            <w:tcBorders>
              <w:top w:val="single" w:sz="4" w:space="0" w:color="000000"/>
              <w:left w:val="single" w:sz="4" w:space="0" w:color="000000"/>
              <w:bottom w:val="single" w:sz="4" w:space="0" w:color="000000"/>
              <w:right w:val="single" w:sz="4" w:space="0" w:color="000000"/>
            </w:tcBorders>
            <w:shd w:val="clear" w:color="auto" w:fill="A6B4E4" w:themeFill="text2" w:themeFillTint="40"/>
            <w:hideMark/>
          </w:tcPr>
          <w:p w14:paraId="5BED5F7B" w14:textId="77777777" w:rsidR="002C3333" w:rsidRDefault="002C3333">
            <w:r>
              <w:rPr>
                <w:rFonts w:ascii="Times New Roman" w:eastAsia="Times New Roman" w:hAnsi="Times New Roman" w:cs="Times New Roman"/>
                <w:b/>
                <w:sz w:val="18"/>
              </w:rPr>
              <w:t>Hallucinogens and dissociative drugs</w:t>
            </w:r>
            <w:r>
              <w:rPr>
                <w:rFonts w:ascii="Times New Roman" w:eastAsia="Times New Roman" w:hAnsi="Times New Roman" w:cs="Times New Roman"/>
                <w:sz w:val="18"/>
              </w:rPr>
              <w:t xml:space="preserve"> </w:t>
            </w:r>
          </w:p>
        </w:tc>
        <w:tc>
          <w:tcPr>
            <w:tcW w:w="3971" w:type="dxa"/>
            <w:vMerge w:val="restart"/>
            <w:tcBorders>
              <w:top w:val="single" w:sz="4" w:space="0" w:color="000000"/>
              <w:left w:val="single" w:sz="4" w:space="0" w:color="000000"/>
              <w:bottom w:val="single" w:sz="4" w:space="0" w:color="000000"/>
              <w:right w:val="single" w:sz="4" w:space="0" w:color="000000"/>
            </w:tcBorders>
            <w:hideMark/>
          </w:tcPr>
          <w:p w14:paraId="3C74E573" w14:textId="77777777" w:rsidR="002C3333" w:rsidRDefault="002C3333">
            <w:pPr>
              <w:ind w:left="6"/>
            </w:pPr>
            <w:r>
              <w:rPr>
                <w:rFonts w:ascii="Times New Roman" w:eastAsia="Times New Roman" w:hAnsi="Times New Roman" w:cs="Times New Roman"/>
                <w:b/>
                <w:sz w:val="18"/>
              </w:rPr>
              <w:t>Possible Health Effects:</w:t>
            </w:r>
            <w:r>
              <w:rPr>
                <w:rFonts w:ascii="Times New Roman" w:eastAsia="Times New Roman" w:hAnsi="Times New Roman" w:cs="Times New Roman"/>
                <w:sz w:val="18"/>
              </w:rPr>
              <w:t xml:space="preserve"> </w:t>
            </w:r>
          </w:p>
          <w:p w14:paraId="6B93389A" w14:textId="77777777" w:rsidR="002C3333" w:rsidRDefault="002C3333">
            <w:pPr>
              <w:spacing w:after="5"/>
              <w:ind w:left="7"/>
            </w:pPr>
            <w:r>
              <w:rPr>
                <w:rFonts w:ascii="Times New Roman" w:eastAsia="Times New Roman" w:hAnsi="Times New Roman" w:cs="Times New Roman"/>
                <w:sz w:val="18"/>
                <w:u w:val="single" w:color="000000"/>
              </w:rPr>
              <w:t>Short-Term</w:t>
            </w:r>
            <w:r>
              <w:rPr>
                <w:rFonts w:ascii="Times New Roman" w:eastAsia="Times New Roman" w:hAnsi="Times New Roman" w:cs="Times New Roman"/>
                <w:sz w:val="18"/>
              </w:rPr>
              <w:t xml:space="preserve">: Disrupt a person’s ability to think and communicate rationally, or even recognize reality; some results in bizarre or dangerous behavior; some cause emotions to swing wildly and real-world sensations to appear unreal; feel out of control; feeling of disconnection from body or environment. </w:t>
            </w:r>
          </w:p>
          <w:p w14:paraId="09EF6542" w14:textId="77777777" w:rsidR="002C3333" w:rsidRDefault="002C3333">
            <w:pPr>
              <w:ind w:left="7"/>
            </w:pPr>
            <w:r>
              <w:rPr>
                <w:rFonts w:ascii="Times New Roman" w:eastAsia="Times New Roman" w:hAnsi="Times New Roman" w:cs="Times New Roman"/>
                <w:sz w:val="18"/>
                <w:u w:val="single" w:color="000000"/>
              </w:rPr>
              <w:t xml:space="preserve">Long-Term: </w:t>
            </w:r>
            <w:r>
              <w:rPr>
                <w:rFonts w:ascii="Times New Roman" w:eastAsia="Times New Roman" w:hAnsi="Times New Roman" w:cs="Times New Roman"/>
                <w:sz w:val="18"/>
              </w:rPr>
              <w:t xml:space="preserve">Associated with psychotic-like episodes long after a person has taken the drug; respiratory depression; heart rate abnormalities; withdrawal syndrome. </w:t>
            </w:r>
          </w:p>
        </w:tc>
      </w:tr>
      <w:tr w:rsidR="002C3333" w14:paraId="0D23C82A" w14:textId="77777777" w:rsidTr="002C3333">
        <w:trPr>
          <w:trHeight w:val="217"/>
        </w:trPr>
        <w:tc>
          <w:tcPr>
            <w:tcW w:w="2331" w:type="dxa"/>
            <w:tcBorders>
              <w:top w:val="single" w:sz="4" w:space="0" w:color="000000"/>
              <w:left w:val="single" w:sz="4" w:space="0" w:color="000000"/>
              <w:bottom w:val="single" w:sz="4" w:space="0" w:color="000000"/>
              <w:right w:val="single" w:sz="4" w:space="0" w:color="000000"/>
            </w:tcBorders>
            <w:hideMark/>
          </w:tcPr>
          <w:p w14:paraId="32B756A4" w14:textId="77777777" w:rsidR="002C3333" w:rsidRDefault="002C3333">
            <w:pPr>
              <w:ind w:left="45"/>
            </w:pPr>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3E839F94" w14:textId="77777777" w:rsidR="002C3333" w:rsidRDefault="002C3333">
            <w:pPr>
              <w:ind w:left="1"/>
            </w:pPr>
            <w:r>
              <w:rPr>
                <w:rFonts w:ascii="Times New Roman" w:eastAsia="Times New Roman" w:hAnsi="Times New Roman" w:cs="Times New Roman"/>
                <w:sz w:val="18"/>
              </w:rPr>
              <w:t xml:space="preserve">Acid, Angel Dust, and Vitamin K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8DCDFA" w14:textId="77777777" w:rsidR="002C3333" w:rsidRDefault="002C3333">
            <w:pPr>
              <w:rPr>
                <w:rFonts w:ascii="Calibri" w:eastAsia="Calibri" w:hAnsi="Calibri" w:cs="Calibri"/>
                <w:color w:val="000000"/>
              </w:rPr>
            </w:pPr>
          </w:p>
        </w:tc>
      </w:tr>
      <w:tr w:rsidR="002C3333" w14:paraId="1DBE1D4B" w14:textId="77777777" w:rsidTr="002C3333">
        <w:trPr>
          <w:trHeight w:val="216"/>
        </w:trPr>
        <w:tc>
          <w:tcPr>
            <w:tcW w:w="2331" w:type="dxa"/>
            <w:tcBorders>
              <w:top w:val="single" w:sz="4" w:space="0" w:color="000000"/>
              <w:left w:val="single" w:sz="4" w:space="0" w:color="000000"/>
              <w:bottom w:val="single" w:sz="4" w:space="0" w:color="000000"/>
              <w:right w:val="single" w:sz="4" w:space="0" w:color="000000"/>
            </w:tcBorders>
            <w:hideMark/>
          </w:tcPr>
          <w:p w14:paraId="30C2ACA7" w14:textId="77777777" w:rsidR="002C3333" w:rsidRDefault="002C3333">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376661C1" w14:textId="77777777" w:rsidR="002C3333" w:rsidRDefault="002C3333">
            <w:pPr>
              <w:ind w:left="1"/>
            </w:pPr>
            <w:r>
              <w:rPr>
                <w:rFonts w:ascii="Times New Roman" w:eastAsia="Times New Roman" w:hAnsi="Times New Roman" w:cs="Times New Roman"/>
                <w:sz w:val="18"/>
              </w:rPr>
              <w:t xml:space="preserve">None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C0EFD8" w14:textId="77777777" w:rsidR="002C3333" w:rsidRDefault="002C3333">
            <w:pPr>
              <w:rPr>
                <w:rFonts w:ascii="Calibri" w:eastAsia="Calibri" w:hAnsi="Calibri" w:cs="Calibri"/>
                <w:color w:val="000000"/>
              </w:rPr>
            </w:pPr>
          </w:p>
        </w:tc>
      </w:tr>
      <w:tr w:rsidR="002C3333" w14:paraId="127E8BF5" w14:textId="77777777" w:rsidTr="002C3333">
        <w:trPr>
          <w:trHeight w:val="840"/>
        </w:trPr>
        <w:tc>
          <w:tcPr>
            <w:tcW w:w="2331" w:type="dxa"/>
            <w:tcBorders>
              <w:top w:val="single" w:sz="4" w:space="0" w:color="000000"/>
              <w:left w:val="single" w:sz="4" w:space="0" w:color="000000"/>
              <w:bottom w:val="single" w:sz="4" w:space="0" w:color="000000"/>
              <w:right w:val="single" w:sz="4" w:space="0" w:color="000000"/>
            </w:tcBorders>
            <w:hideMark/>
          </w:tcPr>
          <w:p w14:paraId="21768869" w14:textId="77777777" w:rsidR="002C3333" w:rsidRDefault="002C3333">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5B5BE688" w14:textId="77777777" w:rsidR="002C3333" w:rsidRDefault="002C3333">
            <w:pPr>
              <w:ind w:left="1"/>
            </w:pPr>
            <w:r>
              <w:rPr>
                <w:rFonts w:ascii="Times New Roman" w:eastAsia="Times New Roman" w:hAnsi="Times New Roman" w:cs="Times New Roman"/>
                <w:sz w:val="18"/>
              </w:rPr>
              <w:t xml:space="preserve">Varies by type. </w:t>
            </w:r>
            <w:r>
              <w:rPr>
                <w:rFonts w:ascii="Times New Roman" w:eastAsia="Times New Roman" w:hAnsi="Times New Roman" w:cs="Times New Roman"/>
                <w:i/>
                <w:sz w:val="18"/>
              </w:rPr>
              <w:t>See hallucinogens - LSD,</w:t>
            </w:r>
            <w:r>
              <w:rPr>
                <w:rFonts w:ascii="Times New Roman" w:eastAsia="Times New Roman" w:hAnsi="Times New Roman" w:cs="Times New Roman"/>
                <w:sz w:val="18"/>
              </w:rPr>
              <w:t xml:space="preserve"> </w:t>
            </w:r>
            <w:r>
              <w:rPr>
                <w:rFonts w:ascii="Times New Roman" w:eastAsia="Times New Roman" w:hAnsi="Times New Roman" w:cs="Times New Roman"/>
                <w:i/>
                <w:sz w:val="18"/>
              </w:rPr>
              <w:t>Psilocybin, DMT, &amp; Ayahuasca; See also dissociative drugs – PCP, ketamine,</w:t>
            </w:r>
            <w:r>
              <w:rPr>
                <w:rFonts w:ascii="Times New Roman" w:eastAsia="Times New Roman" w:hAnsi="Times New Roman" w:cs="Times New Roman"/>
                <w:sz w:val="18"/>
              </w:rPr>
              <w:t xml:space="preserve"> </w:t>
            </w:r>
            <w:r>
              <w:rPr>
                <w:rFonts w:ascii="Times New Roman" w:eastAsia="Times New Roman" w:hAnsi="Times New Roman" w:cs="Times New Roman"/>
                <w:i/>
                <w:sz w:val="18"/>
              </w:rPr>
              <w:t>dextromethorphan, and Salvia</w:t>
            </w:r>
            <w:r>
              <w:rPr>
                <w:rFonts w:ascii="Times New Roman" w:eastAsia="Times New Roman" w:hAnsi="Times New Roman" w:cs="Times New Roman"/>
                <w:sz w:val="18"/>
              </w:rPr>
              <w:t xml:space="preserv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A7C6B2" w14:textId="77777777" w:rsidR="002C3333" w:rsidRDefault="002C3333">
            <w:pPr>
              <w:rPr>
                <w:rFonts w:ascii="Calibri" w:eastAsia="Calibri" w:hAnsi="Calibri" w:cs="Calibri"/>
                <w:color w:val="000000"/>
              </w:rPr>
            </w:pPr>
          </w:p>
        </w:tc>
      </w:tr>
      <w:tr w:rsidR="002C3333" w14:paraId="1DB8A596" w14:textId="77777777" w:rsidTr="002C3333">
        <w:trPr>
          <w:trHeight w:val="835"/>
        </w:trPr>
        <w:tc>
          <w:tcPr>
            <w:tcW w:w="2331" w:type="dxa"/>
            <w:tcBorders>
              <w:top w:val="single" w:sz="4" w:space="0" w:color="000000"/>
              <w:left w:val="single" w:sz="4" w:space="0" w:color="000000"/>
              <w:bottom w:val="single" w:sz="4" w:space="0" w:color="000000"/>
              <w:right w:val="single" w:sz="4" w:space="0" w:color="000000"/>
            </w:tcBorders>
            <w:hideMark/>
          </w:tcPr>
          <w:p w14:paraId="1BCC020F" w14:textId="77777777" w:rsidR="002C3333" w:rsidRDefault="002C3333">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7C77BAEF" w14:textId="77777777" w:rsidR="002C3333" w:rsidRDefault="002C3333">
            <w:pPr>
              <w:ind w:left="1"/>
            </w:pPr>
            <w:r>
              <w:rPr>
                <w:rFonts w:ascii="Times New Roman" w:eastAsia="Times New Roman" w:hAnsi="Times New Roman" w:cs="Times New Roman"/>
                <w:sz w:val="18"/>
              </w:rPr>
              <w:t xml:space="preserve">Varies by type. </w:t>
            </w:r>
            <w:r>
              <w:rPr>
                <w:rFonts w:ascii="Times New Roman" w:eastAsia="Times New Roman" w:hAnsi="Times New Roman" w:cs="Times New Roman"/>
                <w:i/>
                <w:sz w:val="18"/>
              </w:rPr>
              <w:t>See hallucinogens - LSD,</w:t>
            </w:r>
            <w:r>
              <w:rPr>
                <w:rFonts w:ascii="Times New Roman" w:eastAsia="Times New Roman" w:hAnsi="Times New Roman" w:cs="Times New Roman"/>
                <w:sz w:val="18"/>
              </w:rPr>
              <w:t xml:space="preserve"> </w:t>
            </w:r>
            <w:r>
              <w:rPr>
                <w:rFonts w:ascii="Times New Roman" w:eastAsia="Times New Roman" w:hAnsi="Times New Roman" w:cs="Times New Roman"/>
                <w:i/>
                <w:sz w:val="18"/>
              </w:rPr>
              <w:t>Psilocybin, DMT, &amp; Ayahuasca; See also dissociative drugs – PCP, ketamine, dextromethorphan, and Salvia</w:t>
            </w:r>
            <w:r>
              <w:rPr>
                <w:rFonts w:ascii="Times New Roman" w:eastAsia="Times New Roman" w:hAnsi="Times New Roman" w:cs="Times New Roman"/>
                <w:sz w:val="18"/>
              </w:rPr>
              <w:t xml:space="preserv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4B5997" w14:textId="77777777" w:rsidR="002C3333" w:rsidRDefault="002C3333">
            <w:pPr>
              <w:rPr>
                <w:rFonts w:ascii="Calibri" w:eastAsia="Calibri" w:hAnsi="Calibri" w:cs="Calibri"/>
                <w:color w:val="000000"/>
              </w:rPr>
            </w:pPr>
          </w:p>
        </w:tc>
      </w:tr>
      <w:tr w:rsidR="002C3333" w14:paraId="31EDAFCB" w14:textId="77777777" w:rsidTr="002C3333">
        <w:trPr>
          <w:trHeight w:val="221"/>
        </w:trPr>
        <w:tc>
          <w:tcPr>
            <w:tcW w:w="2331" w:type="dxa"/>
            <w:tcBorders>
              <w:top w:val="single" w:sz="4" w:space="0" w:color="000000"/>
              <w:left w:val="single" w:sz="4" w:space="0" w:color="000000"/>
              <w:bottom w:val="single" w:sz="4" w:space="0" w:color="000000"/>
              <w:right w:val="single" w:sz="4" w:space="0" w:color="000000"/>
            </w:tcBorders>
            <w:hideMark/>
          </w:tcPr>
          <w:p w14:paraId="4FB53A04" w14:textId="77777777" w:rsidR="002C3333" w:rsidRDefault="002C3333">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767F9313" w14:textId="77777777" w:rsidR="002C3333" w:rsidRDefault="002C3333">
            <w:pPr>
              <w:ind w:left="1"/>
            </w:pPr>
            <w:r>
              <w:rPr>
                <w:rFonts w:ascii="Times New Roman" w:eastAsia="Times New Roman" w:hAnsi="Times New Roman" w:cs="Times New Roman"/>
                <w:sz w:val="18"/>
              </w:rPr>
              <w:t xml:space="preserve">Schedule I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3A4820" w14:textId="77777777" w:rsidR="002C3333" w:rsidRDefault="002C3333">
            <w:pPr>
              <w:rPr>
                <w:rFonts w:ascii="Calibri" w:eastAsia="Calibri" w:hAnsi="Calibri" w:cs="Calibri"/>
                <w:color w:val="000000"/>
              </w:rPr>
            </w:pPr>
          </w:p>
        </w:tc>
      </w:tr>
    </w:tbl>
    <w:p w14:paraId="067DD31F" w14:textId="77777777" w:rsidR="002C3333" w:rsidRDefault="002C3333" w:rsidP="002C3333">
      <w:pPr>
        <w:spacing w:after="0"/>
        <w:ind w:left="5"/>
        <w:rPr>
          <w:rFonts w:ascii="Calibri" w:eastAsia="Calibri" w:hAnsi="Calibri" w:cs="Calibri"/>
          <w:color w:val="000000"/>
          <w:kern w:val="2"/>
          <w:sz w:val="22"/>
          <w14:ligatures w14:val="standardContextual"/>
        </w:rPr>
      </w:pPr>
      <w:r>
        <w:rPr>
          <w:sz w:val="20"/>
        </w:rPr>
        <w:tab/>
      </w:r>
    </w:p>
    <w:tbl>
      <w:tblPr>
        <w:tblStyle w:val="TableGrid0"/>
        <w:tblW w:w="10170" w:type="dxa"/>
        <w:tblInd w:w="-5" w:type="dxa"/>
        <w:tblCellMar>
          <w:top w:w="5" w:type="dxa"/>
          <w:left w:w="106" w:type="dxa"/>
          <w:right w:w="98" w:type="dxa"/>
        </w:tblCellMar>
        <w:tblLook w:val="04A0" w:firstRow="1" w:lastRow="0" w:firstColumn="1" w:lastColumn="0" w:noHBand="0" w:noVBand="1"/>
      </w:tblPr>
      <w:tblGrid>
        <w:gridCol w:w="2331"/>
        <w:gridCol w:w="3868"/>
        <w:gridCol w:w="3971"/>
      </w:tblGrid>
      <w:tr w:rsidR="002C3333" w14:paraId="24ED3C9B" w14:textId="77777777" w:rsidTr="002C3333">
        <w:trPr>
          <w:trHeight w:val="214"/>
        </w:trPr>
        <w:tc>
          <w:tcPr>
            <w:tcW w:w="2331" w:type="dxa"/>
            <w:tcBorders>
              <w:top w:val="single" w:sz="4" w:space="0" w:color="000000"/>
              <w:left w:val="single" w:sz="4" w:space="0" w:color="000000"/>
              <w:bottom w:val="single" w:sz="4" w:space="0" w:color="000000"/>
              <w:right w:val="nil"/>
            </w:tcBorders>
            <w:shd w:val="clear" w:color="auto" w:fill="A6B4E4" w:themeFill="text2" w:themeFillTint="40"/>
            <w:hideMark/>
          </w:tcPr>
          <w:p w14:paraId="2418ED9B" w14:textId="77777777" w:rsidR="002C3333" w:rsidRDefault="002C3333">
            <w:r>
              <w:rPr>
                <w:rFonts w:ascii="Times New Roman" w:eastAsia="Times New Roman" w:hAnsi="Times New Roman" w:cs="Times New Roman"/>
                <w:b/>
                <w:sz w:val="18"/>
              </w:rPr>
              <w:lastRenderedPageBreak/>
              <w:t>Heroin</w:t>
            </w:r>
            <w:r>
              <w:rPr>
                <w:rFonts w:ascii="Times New Roman" w:eastAsia="Times New Roman" w:hAnsi="Times New Roman" w:cs="Times New Roman"/>
                <w:sz w:val="18"/>
              </w:rPr>
              <w:t xml:space="preserve"> </w:t>
            </w:r>
          </w:p>
        </w:tc>
        <w:tc>
          <w:tcPr>
            <w:tcW w:w="3868" w:type="dxa"/>
            <w:tcBorders>
              <w:top w:val="single" w:sz="4" w:space="0" w:color="000000"/>
              <w:left w:val="nil"/>
              <w:bottom w:val="single" w:sz="4" w:space="0" w:color="000000"/>
              <w:right w:val="single" w:sz="4" w:space="0" w:color="000000"/>
            </w:tcBorders>
            <w:shd w:val="clear" w:color="auto" w:fill="A6B4E4" w:themeFill="text2" w:themeFillTint="40"/>
          </w:tcPr>
          <w:p w14:paraId="6B6026A0" w14:textId="77777777" w:rsidR="002C3333" w:rsidRDefault="002C3333"/>
        </w:tc>
        <w:tc>
          <w:tcPr>
            <w:tcW w:w="3971" w:type="dxa"/>
            <w:vMerge w:val="restart"/>
            <w:tcBorders>
              <w:top w:val="single" w:sz="4" w:space="0" w:color="000000"/>
              <w:left w:val="single" w:sz="4" w:space="0" w:color="000000"/>
              <w:bottom w:val="single" w:sz="4" w:space="0" w:color="000000"/>
              <w:right w:val="single" w:sz="4" w:space="0" w:color="000000"/>
            </w:tcBorders>
            <w:hideMark/>
          </w:tcPr>
          <w:p w14:paraId="62B6C7BA" w14:textId="77777777" w:rsidR="002C3333" w:rsidRDefault="002C3333">
            <w:pPr>
              <w:ind w:left="6"/>
            </w:pPr>
            <w:r>
              <w:rPr>
                <w:rFonts w:ascii="Times New Roman" w:eastAsia="Times New Roman" w:hAnsi="Times New Roman" w:cs="Times New Roman"/>
                <w:b/>
                <w:sz w:val="18"/>
              </w:rPr>
              <w:t>Possible Health Effects:</w:t>
            </w:r>
            <w:r>
              <w:rPr>
                <w:rFonts w:ascii="Times New Roman" w:eastAsia="Times New Roman" w:hAnsi="Times New Roman" w:cs="Times New Roman"/>
                <w:sz w:val="18"/>
              </w:rPr>
              <w:t xml:space="preserve"> </w:t>
            </w:r>
          </w:p>
          <w:p w14:paraId="1919114D" w14:textId="77777777" w:rsidR="002C3333" w:rsidRDefault="002C3333">
            <w:pPr>
              <w:spacing w:after="5"/>
              <w:ind w:left="7"/>
            </w:pPr>
            <w:r>
              <w:rPr>
                <w:rFonts w:ascii="Times New Roman" w:eastAsia="Times New Roman" w:hAnsi="Times New Roman" w:cs="Times New Roman"/>
                <w:sz w:val="18"/>
                <w:u w:val="single" w:color="000000"/>
              </w:rPr>
              <w:t xml:space="preserve">Short-Term: </w:t>
            </w:r>
            <w:r>
              <w:rPr>
                <w:rFonts w:ascii="Times New Roman" w:eastAsia="Times New Roman" w:hAnsi="Times New Roman" w:cs="Times New Roman"/>
                <w:sz w:val="18"/>
              </w:rPr>
              <w:t xml:space="preserve">Euphoria; warm flushing of skin; dry mouth; heavy feeling in the hands and feet; clouded thinking; alternate wakeful and drowsy states; itching; nausea; vomiting; slowed breathing and heart rate. </w:t>
            </w:r>
          </w:p>
          <w:p w14:paraId="71B96B92" w14:textId="77777777" w:rsidR="002C3333" w:rsidRDefault="002C3333">
            <w:pPr>
              <w:spacing w:after="6" w:line="237" w:lineRule="auto"/>
              <w:ind w:left="7"/>
            </w:pPr>
            <w:r>
              <w:rPr>
                <w:rFonts w:ascii="Times New Roman" w:eastAsia="Times New Roman" w:hAnsi="Times New Roman" w:cs="Times New Roman"/>
                <w:sz w:val="18"/>
                <w:u w:val="single" w:color="000000"/>
              </w:rPr>
              <w:t xml:space="preserve">Long-Term: </w:t>
            </w:r>
            <w:r>
              <w:rPr>
                <w:rFonts w:ascii="Times New Roman" w:eastAsia="Times New Roman" w:hAnsi="Times New Roman" w:cs="Times New Roman"/>
                <w:sz w:val="18"/>
              </w:rPr>
              <w:t xml:space="preserve">Collapsed veins; abscesses (swollen tissue with pus); infection of the lining and valves in the heart; constipation and stomach cramps; liver or kidney disease; pneumonia. </w:t>
            </w:r>
          </w:p>
          <w:p w14:paraId="7160AD82" w14:textId="77777777" w:rsidR="002C3333" w:rsidRDefault="002C3333">
            <w:pPr>
              <w:ind w:left="7"/>
            </w:pPr>
            <w:r>
              <w:rPr>
                <w:rFonts w:ascii="Times New Roman" w:eastAsia="Times New Roman" w:hAnsi="Times New Roman" w:cs="Times New Roman"/>
                <w:sz w:val="18"/>
                <w:u w:val="single" w:color="000000"/>
              </w:rPr>
              <w:t>Other Health-Related Issues</w:t>
            </w:r>
            <w:r>
              <w:rPr>
                <w:rFonts w:ascii="Times New Roman" w:eastAsia="Times New Roman" w:hAnsi="Times New Roman" w:cs="Times New Roman"/>
                <w:sz w:val="18"/>
              </w:rPr>
              <w:t xml:space="preserve">: Pregnancy: miscarriage, low birth weight, neonatal abstinence syndrome. Risk of HIV, hepatitis, and other infectious diseases from shared needles. Dangerous slowdown of heart rate and breathing, coma, death. Restlessness, muscle and bone pain, insomnia, diarrhea, vomiting, cold flashes with goose bumps ("cold turkey"), leg movements. </w:t>
            </w:r>
          </w:p>
        </w:tc>
      </w:tr>
      <w:tr w:rsidR="002C3333" w14:paraId="1A71E6D2" w14:textId="77777777" w:rsidTr="002C3333">
        <w:trPr>
          <w:trHeight w:val="841"/>
        </w:trPr>
        <w:tc>
          <w:tcPr>
            <w:tcW w:w="2331" w:type="dxa"/>
            <w:tcBorders>
              <w:top w:val="single" w:sz="4" w:space="0" w:color="000000"/>
              <w:left w:val="single" w:sz="4" w:space="0" w:color="000000"/>
              <w:bottom w:val="single" w:sz="4" w:space="0" w:color="000000"/>
              <w:right w:val="single" w:sz="4" w:space="0" w:color="000000"/>
            </w:tcBorders>
            <w:hideMark/>
          </w:tcPr>
          <w:p w14:paraId="3C3ABAD5" w14:textId="77777777" w:rsidR="002C3333" w:rsidRDefault="002C3333">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tcPr>
          <w:p w14:paraId="341E63E2" w14:textId="77777777" w:rsidR="002C3333" w:rsidRDefault="002C3333">
            <w:pPr>
              <w:ind w:left="1"/>
            </w:pPr>
            <w:r>
              <w:rPr>
                <w:rFonts w:ascii="Times New Roman" w:eastAsia="Times New Roman" w:hAnsi="Times New Roman" w:cs="Times New Roman"/>
                <w:sz w:val="18"/>
              </w:rPr>
              <w:t xml:space="preserve">Brown sugar, China White, Dope, H, Horse, Junk, </w:t>
            </w:r>
          </w:p>
          <w:p w14:paraId="0CEA9B2A" w14:textId="77777777" w:rsidR="002C3333" w:rsidRDefault="002C3333">
            <w:pPr>
              <w:ind w:left="1"/>
            </w:pPr>
            <w:r>
              <w:rPr>
                <w:rFonts w:ascii="Times New Roman" w:eastAsia="Times New Roman" w:hAnsi="Times New Roman" w:cs="Times New Roman"/>
                <w:sz w:val="18"/>
              </w:rPr>
              <w:t xml:space="preserve">Skag, Skunk, Smack, White Horse </w:t>
            </w:r>
          </w:p>
          <w:p w14:paraId="1F4F475E" w14:textId="77777777" w:rsidR="002C3333" w:rsidRDefault="002C3333">
            <w:pPr>
              <w:ind w:left="1"/>
            </w:pPr>
            <w:r>
              <w:rPr>
                <w:rFonts w:ascii="Times New Roman" w:eastAsia="Times New Roman" w:hAnsi="Times New Roman" w:cs="Times New Roman"/>
                <w:sz w:val="18"/>
              </w:rPr>
              <w:t xml:space="preserve">With OTC cold medicine and antihistamine: </w:t>
            </w:r>
          </w:p>
          <w:p w14:paraId="3F71A1F6" w14:textId="77777777" w:rsidR="002C3333" w:rsidRDefault="002C3333">
            <w:pPr>
              <w:ind w:left="1"/>
              <w:rPr>
                <w:rFonts w:ascii="Times New Roman" w:eastAsia="Times New Roman" w:hAnsi="Times New Roman" w:cs="Times New Roman"/>
                <w:sz w:val="18"/>
              </w:rPr>
            </w:pPr>
            <w:r>
              <w:rPr>
                <w:rFonts w:ascii="Times New Roman" w:eastAsia="Times New Roman" w:hAnsi="Times New Roman" w:cs="Times New Roman"/>
                <w:sz w:val="18"/>
              </w:rPr>
              <w:t xml:space="preserve">Cheese </w:t>
            </w:r>
          </w:p>
          <w:p w14:paraId="055F38C8" w14:textId="77777777" w:rsidR="002C3333" w:rsidRDefault="002C3333">
            <w:pPr>
              <w:ind w:left="1"/>
              <w:rPr>
                <w:rFonts w:ascii="Calibri" w:eastAsia="Calibri" w:hAnsi="Calibri" w:cs="Calibri"/>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11FF0A" w14:textId="77777777" w:rsidR="002C3333" w:rsidRDefault="002C3333">
            <w:pPr>
              <w:rPr>
                <w:rFonts w:ascii="Calibri" w:eastAsia="Calibri" w:hAnsi="Calibri" w:cs="Calibri"/>
                <w:color w:val="000000"/>
              </w:rPr>
            </w:pPr>
          </w:p>
        </w:tc>
      </w:tr>
      <w:tr w:rsidR="002C3333" w14:paraId="3C04FAEB" w14:textId="77777777" w:rsidTr="002C3333">
        <w:trPr>
          <w:trHeight w:val="216"/>
        </w:trPr>
        <w:tc>
          <w:tcPr>
            <w:tcW w:w="2331" w:type="dxa"/>
            <w:tcBorders>
              <w:top w:val="single" w:sz="4" w:space="0" w:color="000000"/>
              <w:left w:val="single" w:sz="4" w:space="0" w:color="000000"/>
              <w:bottom w:val="single" w:sz="4" w:space="0" w:color="000000"/>
              <w:right w:val="single" w:sz="4" w:space="0" w:color="000000"/>
            </w:tcBorders>
            <w:hideMark/>
          </w:tcPr>
          <w:p w14:paraId="1EB0C502" w14:textId="77777777" w:rsidR="002C3333" w:rsidRDefault="002C3333">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7E829279" w14:textId="77777777" w:rsidR="002C3333" w:rsidRDefault="002C3333">
            <w:pPr>
              <w:ind w:left="1"/>
            </w:pPr>
            <w:r>
              <w:rPr>
                <w:rFonts w:ascii="Times New Roman" w:eastAsia="Times New Roman" w:hAnsi="Times New Roman" w:cs="Times New Roman"/>
                <w:sz w:val="18"/>
              </w:rPr>
              <w:t xml:space="preserve">None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3A275C" w14:textId="77777777" w:rsidR="002C3333" w:rsidRDefault="002C3333">
            <w:pPr>
              <w:rPr>
                <w:rFonts w:ascii="Calibri" w:eastAsia="Calibri" w:hAnsi="Calibri" w:cs="Calibri"/>
                <w:color w:val="000000"/>
              </w:rPr>
            </w:pPr>
          </w:p>
        </w:tc>
      </w:tr>
      <w:tr w:rsidR="002C3333" w14:paraId="32DF6099" w14:textId="77777777" w:rsidTr="002C3333">
        <w:trPr>
          <w:trHeight w:val="422"/>
        </w:trPr>
        <w:tc>
          <w:tcPr>
            <w:tcW w:w="2331" w:type="dxa"/>
            <w:tcBorders>
              <w:top w:val="single" w:sz="4" w:space="0" w:color="000000"/>
              <w:left w:val="single" w:sz="4" w:space="0" w:color="000000"/>
              <w:bottom w:val="single" w:sz="4" w:space="0" w:color="000000"/>
              <w:right w:val="single" w:sz="4" w:space="0" w:color="000000"/>
            </w:tcBorders>
            <w:hideMark/>
          </w:tcPr>
          <w:p w14:paraId="261AE503" w14:textId="77777777" w:rsidR="002C3333" w:rsidRDefault="002C3333">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70D05D2F" w14:textId="77777777" w:rsidR="002C3333" w:rsidRDefault="002C3333">
            <w:pPr>
              <w:ind w:left="1"/>
            </w:pPr>
            <w:r>
              <w:rPr>
                <w:rFonts w:ascii="Times New Roman" w:eastAsia="Times New Roman" w:hAnsi="Times New Roman" w:cs="Times New Roman"/>
                <w:sz w:val="18"/>
              </w:rPr>
              <w:t xml:space="preserve">White or brownish powder, or black sticky substance known as "black tar heroin"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93BDA7" w14:textId="77777777" w:rsidR="002C3333" w:rsidRDefault="002C3333">
            <w:pPr>
              <w:rPr>
                <w:rFonts w:ascii="Calibri" w:eastAsia="Calibri" w:hAnsi="Calibri" w:cs="Calibri"/>
                <w:color w:val="000000"/>
              </w:rPr>
            </w:pPr>
          </w:p>
        </w:tc>
      </w:tr>
      <w:tr w:rsidR="002C3333" w14:paraId="175B885D" w14:textId="77777777" w:rsidTr="002C3333">
        <w:trPr>
          <w:trHeight w:val="221"/>
        </w:trPr>
        <w:tc>
          <w:tcPr>
            <w:tcW w:w="2331" w:type="dxa"/>
            <w:tcBorders>
              <w:top w:val="single" w:sz="4" w:space="0" w:color="000000"/>
              <w:left w:val="single" w:sz="4" w:space="0" w:color="000000"/>
              <w:bottom w:val="single" w:sz="4" w:space="0" w:color="000000"/>
              <w:right w:val="single" w:sz="4" w:space="0" w:color="000000"/>
            </w:tcBorders>
            <w:hideMark/>
          </w:tcPr>
          <w:p w14:paraId="3E899883" w14:textId="77777777" w:rsidR="002C3333" w:rsidRDefault="002C3333">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3FACA5A4" w14:textId="77777777" w:rsidR="002C3333" w:rsidRDefault="002C3333">
            <w:pPr>
              <w:ind w:left="1"/>
            </w:pPr>
            <w:r>
              <w:rPr>
                <w:rFonts w:ascii="Times New Roman" w:eastAsia="Times New Roman" w:hAnsi="Times New Roman" w:cs="Times New Roman"/>
                <w:sz w:val="18"/>
              </w:rPr>
              <w:t xml:space="preserve">Injected, smoked, snorted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5B6C6D" w14:textId="77777777" w:rsidR="002C3333" w:rsidRDefault="002C3333">
            <w:pPr>
              <w:rPr>
                <w:rFonts w:ascii="Calibri" w:eastAsia="Calibri" w:hAnsi="Calibri" w:cs="Calibri"/>
                <w:color w:val="000000"/>
              </w:rPr>
            </w:pPr>
          </w:p>
        </w:tc>
      </w:tr>
      <w:tr w:rsidR="002C3333" w14:paraId="1EB5D192" w14:textId="77777777" w:rsidTr="002C3333">
        <w:trPr>
          <w:trHeight w:val="1411"/>
        </w:trPr>
        <w:tc>
          <w:tcPr>
            <w:tcW w:w="2331" w:type="dxa"/>
            <w:tcBorders>
              <w:top w:val="single" w:sz="4" w:space="0" w:color="000000"/>
              <w:left w:val="single" w:sz="4" w:space="0" w:color="000000"/>
              <w:bottom w:val="single" w:sz="4" w:space="0" w:color="000000"/>
              <w:right w:val="single" w:sz="4" w:space="0" w:color="000000"/>
            </w:tcBorders>
            <w:hideMark/>
          </w:tcPr>
          <w:p w14:paraId="2D8B0771" w14:textId="77777777" w:rsidR="002C3333" w:rsidRDefault="002C3333">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49A9419B" w14:textId="77777777" w:rsidR="002C3333" w:rsidRDefault="002C3333">
            <w:pPr>
              <w:ind w:left="1"/>
            </w:pPr>
            <w:r>
              <w:rPr>
                <w:rFonts w:ascii="Times New Roman" w:eastAsia="Times New Roman" w:hAnsi="Times New Roman" w:cs="Times New Roman"/>
                <w:sz w:val="18"/>
              </w:rPr>
              <w:t xml:space="preserve">Schedule I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46C30D" w14:textId="77777777" w:rsidR="002C3333" w:rsidRDefault="002C3333">
            <w:pPr>
              <w:rPr>
                <w:rFonts w:ascii="Calibri" w:eastAsia="Calibri" w:hAnsi="Calibri" w:cs="Calibri"/>
                <w:color w:val="000000"/>
              </w:rPr>
            </w:pPr>
          </w:p>
        </w:tc>
      </w:tr>
    </w:tbl>
    <w:p w14:paraId="3E80B3CD" w14:textId="1914D90C" w:rsidR="002C3333" w:rsidRDefault="002C3333" w:rsidP="00CF6AE8">
      <w:pPr>
        <w:spacing w:after="129"/>
        <w:ind w:left="5"/>
        <w:rPr>
          <w:sz w:val="20"/>
        </w:rPr>
      </w:pPr>
      <w:r>
        <w:rPr>
          <w:sz w:val="20"/>
        </w:rPr>
        <w:tab/>
      </w:r>
      <w:r>
        <w:rPr>
          <w:sz w:val="20"/>
        </w:rPr>
        <w:tab/>
      </w:r>
    </w:p>
    <w:tbl>
      <w:tblPr>
        <w:tblStyle w:val="TableGrid0"/>
        <w:tblW w:w="10170" w:type="dxa"/>
        <w:tblInd w:w="-5" w:type="dxa"/>
        <w:tblCellMar>
          <w:top w:w="5" w:type="dxa"/>
          <w:left w:w="106" w:type="dxa"/>
          <w:right w:w="110" w:type="dxa"/>
        </w:tblCellMar>
        <w:tblLook w:val="04A0" w:firstRow="1" w:lastRow="0" w:firstColumn="1" w:lastColumn="0" w:noHBand="0" w:noVBand="1"/>
      </w:tblPr>
      <w:tblGrid>
        <w:gridCol w:w="2331"/>
        <w:gridCol w:w="3868"/>
        <w:gridCol w:w="3971"/>
      </w:tblGrid>
      <w:tr w:rsidR="002C3333" w14:paraId="10B0592E" w14:textId="77777777" w:rsidTr="002C3333">
        <w:trPr>
          <w:trHeight w:val="214"/>
        </w:trPr>
        <w:tc>
          <w:tcPr>
            <w:tcW w:w="2331" w:type="dxa"/>
            <w:tcBorders>
              <w:top w:val="single" w:sz="4" w:space="0" w:color="000000"/>
              <w:left w:val="single" w:sz="4" w:space="0" w:color="000000"/>
              <w:bottom w:val="single" w:sz="4" w:space="0" w:color="000000"/>
              <w:right w:val="nil"/>
            </w:tcBorders>
            <w:shd w:val="clear" w:color="auto" w:fill="A6B4E4" w:themeFill="text2" w:themeFillTint="40"/>
            <w:hideMark/>
          </w:tcPr>
          <w:p w14:paraId="1767713E" w14:textId="77777777" w:rsidR="002C3333" w:rsidRDefault="002C3333">
            <w:r>
              <w:rPr>
                <w:rFonts w:ascii="Times New Roman" w:eastAsia="Times New Roman" w:hAnsi="Times New Roman" w:cs="Times New Roman"/>
                <w:b/>
                <w:sz w:val="18"/>
              </w:rPr>
              <w:t>Inhalants</w:t>
            </w:r>
            <w:r>
              <w:rPr>
                <w:rFonts w:ascii="Times New Roman" w:eastAsia="Times New Roman" w:hAnsi="Times New Roman" w:cs="Times New Roman"/>
                <w:sz w:val="18"/>
              </w:rPr>
              <w:t xml:space="preserve"> </w:t>
            </w:r>
          </w:p>
        </w:tc>
        <w:tc>
          <w:tcPr>
            <w:tcW w:w="3868" w:type="dxa"/>
            <w:tcBorders>
              <w:top w:val="single" w:sz="4" w:space="0" w:color="000000"/>
              <w:left w:val="nil"/>
              <w:bottom w:val="single" w:sz="4" w:space="0" w:color="000000"/>
              <w:right w:val="single" w:sz="4" w:space="0" w:color="000000"/>
            </w:tcBorders>
            <w:shd w:val="clear" w:color="auto" w:fill="A6B4E4" w:themeFill="text2" w:themeFillTint="40"/>
          </w:tcPr>
          <w:p w14:paraId="7670230C" w14:textId="77777777" w:rsidR="002C3333" w:rsidRDefault="002C3333"/>
        </w:tc>
        <w:tc>
          <w:tcPr>
            <w:tcW w:w="3971" w:type="dxa"/>
            <w:vMerge w:val="restart"/>
            <w:tcBorders>
              <w:top w:val="single" w:sz="4" w:space="0" w:color="000000"/>
              <w:left w:val="single" w:sz="4" w:space="0" w:color="000000"/>
              <w:bottom w:val="single" w:sz="4" w:space="0" w:color="000000"/>
              <w:right w:val="single" w:sz="4" w:space="0" w:color="000000"/>
            </w:tcBorders>
            <w:hideMark/>
          </w:tcPr>
          <w:p w14:paraId="46FD8728" w14:textId="77777777" w:rsidR="002C3333" w:rsidRDefault="002C3333">
            <w:pPr>
              <w:ind w:left="7"/>
            </w:pPr>
            <w:r>
              <w:rPr>
                <w:rFonts w:ascii="Times New Roman" w:eastAsia="Times New Roman" w:hAnsi="Times New Roman" w:cs="Times New Roman"/>
                <w:b/>
                <w:sz w:val="18"/>
              </w:rPr>
              <w:t>Possible Health Effects:</w:t>
            </w:r>
            <w:r>
              <w:rPr>
                <w:rFonts w:ascii="Times New Roman" w:eastAsia="Times New Roman" w:hAnsi="Times New Roman" w:cs="Times New Roman"/>
                <w:sz w:val="18"/>
              </w:rPr>
              <w:t xml:space="preserve"> </w:t>
            </w:r>
          </w:p>
          <w:p w14:paraId="0736F6DB" w14:textId="77777777" w:rsidR="002C3333" w:rsidRDefault="002C3333">
            <w:pPr>
              <w:spacing w:after="5"/>
              <w:ind w:left="7"/>
            </w:pPr>
            <w:r>
              <w:rPr>
                <w:rFonts w:ascii="Times New Roman" w:eastAsia="Times New Roman" w:hAnsi="Times New Roman" w:cs="Times New Roman"/>
                <w:sz w:val="18"/>
                <w:u w:val="single" w:color="000000"/>
              </w:rPr>
              <w:t xml:space="preserve">Short-Term: </w:t>
            </w:r>
            <w:r>
              <w:rPr>
                <w:rFonts w:ascii="Times New Roman" w:eastAsia="Times New Roman" w:hAnsi="Times New Roman" w:cs="Times New Roman"/>
                <w:sz w:val="18"/>
              </w:rPr>
              <w:t xml:space="preserve">Confusion; nausea; slurred speech; lack of coordination; euphoria; dizziness; drowsiness; disinhibition, lightheadedness, hallucinations/delusions; headaches; sudden sniffing death due to heart failure (from butane, propane, and other chemicals in aerosols); death from asphyxiation, suffocation, convulsions or seizures, coma, or choking.  Nitrites: enlarged blood vessels enhanced sexual pleasure, increased heart rate, brief sensation of heat and excitement, dizziness, headache. </w:t>
            </w:r>
          </w:p>
          <w:p w14:paraId="62A8E38F" w14:textId="77777777" w:rsidR="002C3333" w:rsidRDefault="002C3333">
            <w:pPr>
              <w:spacing w:after="6" w:line="237" w:lineRule="auto"/>
              <w:ind w:left="7"/>
            </w:pPr>
            <w:r>
              <w:rPr>
                <w:rFonts w:ascii="Times New Roman" w:eastAsia="Times New Roman" w:hAnsi="Times New Roman" w:cs="Times New Roman"/>
                <w:sz w:val="18"/>
                <w:u w:val="single" w:color="000000"/>
              </w:rPr>
              <w:t xml:space="preserve">Long-Term: </w:t>
            </w:r>
            <w:r>
              <w:rPr>
                <w:rFonts w:ascii="Times New Roman" w:eastAsia="Times New Roman" w:hAnsi="Times New Roman" w:cs="Times New Roman"/>
                <w:sz w:val="18"/>
              </w:rPr>
              <w:t xml:space="preserve">Liver and kidney damage; bone marrow damage; limb spasms due to nerve damage; brain damage from lack of oxygen that can cause problems with thinking, movement, vision, and hearing. Nitrates: increased risk of pneumonia. </w:t>
            </w:r>
          </w:p>
          <w:p w14:paraId="042EC10A" w14:textId="77777777" w:rsidR="002C3333" w:rsidRDefault="002C3333">
            <w:pPr>
              <w:ind w:left="7"/>
            </w:pPr>
            <w:r>
              <w:rPr>
                <w:rFonts w:ascii="Times New Roman" w:eastAsia="Times New Roman" w:hAnsi="Times New Roman" w:cs="Times New Roman"/>
                <w:sz w:val="18"/>
                <w:u w:val="single" w:color="000000"/>
              </w:rPr>
              <w:t>Other Health-Related Issues</w:t>
            </w:r>
            <w:r>
              <w:rPr>
                <w:rFonts w:ascii="Times New Roman" w:eastAsia="Times New Roman" w:hAnsi="Times New Roman" w:cs="Times New Roman"/>
                <w:sz w:val="18"/>
              </w:rPr>
              <w:t xml:space="preserve">: Pregnancy: low birth weight, bone problems, delayed behavioral development due to brain problems, altered metabolism and body composition. </w:t>
            </w:r>
          </w:p>
        </w:tc>
      </w:tr>
      <w:tr w:rsidR="002C3333" w14:paraId="0406C536" w14:textId="77777777" w:rsidTr="002C3333">
        <w:trPr>
          <w:trHeight w:val="217"/>
        </w:trPr>
        <w:tc>
          <w:tcPr>
            <w:tcW w:w="2331" w:type="dxa"/>
            <w:tcBorders>
              <w:top w:val="single" w:sz="4" w:space="0" w:color="000000"/>
              <w:left w:val="single" w:sz="4" w:space="0" w:color="000000"/>
              <w:bottom w:val="single" w:sz="4" w:space="0" w:color="000000"/>
              <w:right w:val="single" w:sz="4" w:space="0" w:color="000000"/>
            </w:tcBorders>
            <w:hideMark/>
          </w:tcPr>
          <w:p w14:paraId="5859E432" w14:textId="77777777" w:rsidR="002C3333" w:rsidRDefault="002C3333">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0B942BA2" w14:textId="77777777" w:rsidR="002C3333" w:rsidRDefault="002C3333">
            <w:pPr>
              <w:ind w:left="1"/>
            </w:pPr>
            <w:r>
              <w:rPr>
                <w:rFonts w:ascii="Times New Roman" w:eastAsia="Times New Roman" w:hAnsi="Times New Roman" w:cs="Times New Roman"/>
                <w:sz w:val="18"/>
              </w:rPr>
              <w:t xml:space="preserve">Poppers, snappers, whippets, laughing gas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5A94AE" w14:textId="77777777" w:rsidR="002C3333" w:rsidRDefault="002C3333">
            <w:pPr>
              <w:rPr>
                <w:rFonts w:ascii="Calibri" w:eastAsia="Calibri" w:hAnsi="Calibri" w:cs="Calibri"/>
                <w:color w:val="000000"/>
              </w:rPr>
            </w:pPr>
          </w:p>
        </w:tc>
      </w:tr>
      <w:tr w:rsidR="002C3333" w14:paraId="72296391" w14:textId="77777777" w:rsidTr="002C3333">
        <w:trPr>
          <w:trHeight w:val="216"/>
        </w:trPr>
        <w:tc>
          <w:tcPr>
            <w:tcW w:w="2331" w:type="dxa"/>
            <w:tcBorders>
              <w:top w:val="single" w:sz="4" w:space="0" w:color="000000"/>
              <w:left w:val="single" w:sz="4" w:space="0" w:color="000000"/>
              <w:bottom w:val="single" w:sz="4" w:space="0" w:color="000000"/>
              <w:right w:val="single" w:sz="4" w:space="0" w:color="000000"/>
            </w:tcBorders>
            <w:hideMark/>
          </w:tcPr>
          <w:p w14:paraId="12C84E9C" w14:textId="77777777" w:rsidR="002C3333" w:rsidRDefault="002C3333">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297C6DAC" w14:textId="77777777" w:rsidR="002C3333" w:rsidRDefault="002C3333">
            <w:pPr>
              <w:ind w:left="1"/>
            </w:pPr>
            <w:r>
              <w:rPr>
                <w:rFonts w:ascii="Times New Roman" w:eastAsia="Times New Roman" w:hAnsi="Times New Roman" w:cs="Times New Roman"/>
                <w:sz w:val="18"/>
              </w:rPr>
              <w:t xml:space="preserve">Various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881F66" w14:textId="77777777" w:rsidR="002C3333" w:rsidRDefault="002C3333">
            <w:pPr>
              <w:rPr>
                <w:rFonts w:ascii="Calibri" w:eastAsia="Calibri" w:hAnsi="Calibri" w:cs="Calibri"/>
                <w:color w:val="000000"/>
              </w:rPr>
            </w:pPr>
          </w:p>
        </w:tc>
      </w:tr>
      <w:tr w:rsidR="002C3333" w14:paraId="440BF71B" w14:textId="77777777" w:rsidTr="002C3333">
        <w:trPr>
          <w:trHeight w:val="1877"/>
        </w:trPr>
        <w:tc>
          <w:tcPr>
            <w:tcW w:w="2331" w:type="dxa"/>
            <w:tcBorders>
              <w:top w:val="single" w:sz="4" w:space="0" w:color="000000"/>
              <w:left w:val="single" w:sz="4" w:space="0" w:color="000000"/>
              <w:bottom w:val="single" w:sz="4" w:space="0" w:color="000000"/>
              <w:right w:val="single" w:sz="4" w:space="0" w:color="000000"/>
            </w:tcBorders>
            <w:hideMark/>
          </w:tcPr>
          <w:p w14:paraId="38DDB7E0" w14:textId="77777777" w:rsidR="002C3333" w:rsidRDefault="002C3333">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2CE3CC24" w14:textId="77777777" w:rsidR="002C3333" w:rsidRDefault="002C3333">
            <w:pPr>
              <w:ind w:left="1"/>
            </w:pPr>
            <w:r>
              <w:rPr>
                <w:rFonts w:ascii="Times New Roman" w:eastAsia="Times New Roman" w:hAnsi="Times New Roman" w:cs="Times New Roman"/>
                <w:sz w:val="18"/>
              </w:rPr>
              <w:t xml:space="preserve">Paint thinners or removers, degreasers, dry- cleaning fluids, gasoline, lighter fluids, correction fluids, permanent markers, electronics cleaners and freeze sprays, glue, spray paint, hair or deodorant sprays, fabric protector sprays, aerosol computer cleaning products, vegetable oil sprays, butane lighters, propane tanks, whipped cream aerosol containers, refrigerant gases, ether, chloroform, halothane, nitrous oxide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1B4AA9" w14:textId="77777777" w:rsidR="002C3333" w:rsidRDefault="002C3333">
            <w:pPr>
              <w:rPr>
                <w:rFonts w:ascii="Calibri" w:eastAsia="Calibri" w:hAnsi="Calibri" w:cs="Calibri"/>
                <w:color w:val="000000"/>
              </w:rPr>
            </w:pPr>
          </w:p>
        </w:tc>
      </w:tr>
      <w:tr w:rsidR="002C3333" w14:paraId="577EFE04" w14:textId="77777777" w:rsidTr="002C3333">
        <w:trPr>
          <w:trHeight w:val="216"/>
        </w:trPr>
        <w:tc>
          <w:tcPr>
            <w:tcW w:w="2331" w:type="dxa"/>
            <w:tcBorders>
              <w:top w:val="single" w:sz="4" w:space="0" w:color="000000"/>
              <w:left w:val="single" w:sz="4" w:space="0" w:color="000000"/>
              <w:bottom w:val="single" w:sz="4" w:space="0" w:color="000000"/>
              <w:right w:val="single" w:sz="4" w:space="0" w:color="000000"/>
            </w:tcBorders>
            <w:hideMark/>
          </w:tcPr>
          <w:p w14:paraId="1A13AC1D" w14:textId="77777777" w:rsidR="002C3333" w:rsidRDefault="002C3333">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7FBE9E30" w14:textId="77777777" w:rsidR="002C3333" w:rsidRDefault="002C3333">
            <w:pPr>
              <w:ind w:left="1"/>
            </w:pPr>
            <w:r>
              <w:rPr>
                <w:rFonts w:ascii="Times New Roman" w:eastAsia="Times New Roman" w:hAnsi="Times New Roman" w:cs="Times New Roman"/>
                <w:sz w:val="18"/>
              </w:rPr>
              <w:t xml:space="preserve">Inhaled through the nose or mouth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C7867B" w14:textId="77777777" w:rsidR="002C3333" w:rsidRDefault="002C3333">
            <w:pPr>
              <w:rPr>
                <w:rFonts w:ascii="Calibri" w:eastAsia="Calibri" w:hAnsi="Calibri" w:cs="Calibri"/>
                <w:color w:val="000000"/>
              </w:rPr>
            </w:pPr>
          </w:p>
        </w:tc>
      </w:tr>
      <w:tr w:rsidR="002C3333" w14:paraId="5EBF9CFF" w14:textId="77777777" w:rsidTr="002C3333">
        <w:trPr>
          <w:trHeight w:val="998"/>
        </w:trPr>
        <w:tc>
          <w:tcPr>
            <w:tcW w:w="2331" w:type="dxa"/>
            <w:tcBorders>
              <w:top w:val="single" w:sz="4" w:space="0" w:color="000000"/>
              <w:left w:val="single" w:sz="4" w:space="0" w:color="000000"/>
              <w:bottom w:val="single" w:sz="4" w:space="0" w:color="000000"/>
              <w:right w:val="single" w:sz="4" w:space="0" w:color="000000"/>
            </w:tcBorders>
            <w:hideMark/>
          </w:tcPr>
          <w:p w14:paraId="3DE3B76B" w14:textId="77777777" w:rsidR="002C3333" w:rsidRDefault="002C3333">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64006726" w14:textId="77777777" w:rsidR="002C3333" w:rsidRDefault="002C3333">
            <w:pPr>
              <w:ind w:left="1"/>
            </w:pPr>
            <w:r>
              <w:rPr>
                <w:rFonts w:ascii="Times New Roman" w:eastAsia="Times New Roman" w:hAnsi="Times New Roman" w:cs="Times New Roman"/>
                <w:sz w:val="18"/>
              </w:rPr>
              <w:t xml:space="preserve">Not scheduled.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82107E" w14:textId="77777777" w:rsidR="002C3333" w:rsidRDefault="002C3333">
            <w:pPr>
              <w:rPr>
                <w:rFonts w:ascii="Calibri" w:eastAsia="Calibri" w:hAnsi="Calibri" w:cs="Calibri"/>
                <w:color w:val="000000"/>
              </w:rPr>
            </w:pPr>
          </w:p>
        </w:tc>
      </w:tr>
    </w:tbl>
    <w:p w14:paraId="77F6B9C6" w14:textId="77777777" w:rsidR="002C3333" w:rsidRDefault="002C3333" w:rsidP="002C3333">
      <w:pPr>
        <w:spacing w:after="46"/>
        <w:ind w:left="5"/>
        <w:rPr>
          <w:rFonts w:ascii="Calibri" w:eastAsia="Calibri" w:hAnsi="Calibri" w:cs="Calibri"/>
          <w:color w:val="000000"/>
          <w:kern w:val="2"/>
          <w:sz w:val="22"/>
          <w14:ligatures w14:val="standardContextual"/>
        </w:rPr>
      </w:pPr>
      <w:r>
        <w:rPr>
          <w:sz w:val="9"/>
        </w:rPr>
        <w:tab/>
      </w:r>
    </w:p>
    <w:tbl>
      <w:tblPr>
        <w:tblStyle w:val="TableGrid0"/>
        <w:tblW w:w="10170" w:type="dxa"/>
        <w:tblInd w:w="-5" w:type="dxa"/>
        <w:tblCellMar>
          <w:top w:w="5" w:type="dxa"/>
          <w:left w:w="106" w:type="dxa"/>
          <w:right w:w="79" w:type="dxa"/>
        </w:tblCellMar>
        <w:tblLook w:val="04A0" w:firstRow="1" w:lastRow="0" w:firstColumn="1" w:lastColumn="0" w:noHBand="0" w:noVBand="1"/>
      </w:tblPr>
      <w:tblGrid>
        <w:gridCol w:w="2331"/>
        <w:gridCol w:w="3868"/>
        <w:gridCol w:w="3971"/>
      </w:tblGrid>
      <w:tr w:rsidR="002C3333" w14:paraId="3DC73957" w14:textId="77777777" w:rsidTr="002C3333">
        <w:trPr>
          <w:trHeight w:val="214"/>
        </w:trPr>
        <w:tc>
          <w:tcPr>
            <w:tcW w:w="2331" w:type="dxa"/>
            <w:tcBorders>
              <w:top w:val="single" w:sz="4" w:space="0" w:color="000000"/>
              <w:left w:val="single" w:sz="4" w:space="0" w:color="000000"/>
              <w:bottom w:val="single" w:sz="4" w:space="0" w:color="000000"/>
              <w:right w:val="nil"/>
            </w:tcBorders>
            <w:shd w:val="clear" w:color="auto" w:fill="A6B4E4" w:themeFill="text2" w:themeFillTint="40"/>
            <w:hideMark/>
          </w:tcPr>
          <w:p w14:paraId="4F41EAA6" w14:textId="77777777" w:rsidR="002C3333" w:rsidRDefault="002C3333">
            <w:r>
              <w:rPr>
                <w:rFonts w:ascii="Times New Roman" w:eastAsia="Times New Roman" w:hAnsi="Times New Roman" w:cs="Times New Roman"/>
                <w:b/>
                <w:sz w:val="18"/>
              </w:rPr>
              <w:t>Ketamine</w:t>
            </w:r>
            <w:r>
              <w:rPr>
                <w:rFonts w:ascii="Times New Roman" w:eastAsia="Times New Roman" w:hAnsi="Times New Roman" w:cs="Times New Roman"/>
                <w:sz w:val="18"/>
              </w:rPr>
              <w:t xml:space="preserve"> </w:t>
            </w:r>
          </w:p>
        </w:tc>
        <w:tc>
          <w:tcPr>
            <w:tcW w:w="3868" w:type="dxa"/>
            <w:tcBorders>
              <w:top w:val="single" w:sz="4" w:space="0" w:color="000000"/>
              <w:left w:val="nil"/>
              <w:bottom w:val="single" w:sz="4" w:space="0" w:color="000000"/>
              <w:right w:val="single" w:sz="4" w:space="0" w:color="000000"/>
            </w:tcBorders>
            <w:shd w:val="clear" w:color="auto" w:fill="A6B4E4" w:themeFill="text2" w:themeFillTint="40"/>
          </w:tcPr>
          <w:p w14:paraId="2ED3B6C0" w14:textId="77777777" w:rsidR="002C3333" w:rsidRDefault="002C3333"/>
        </w:tc>
        <w:tc>
          <w:tcPr>
            <w:tcW w:w="3971" w:type="dxa"/>
            <w:vMerge w:val="restart"/>
            <w:tcBorders>
              <w:top w:val="single" w:sz="4" w:space="0" w:color="000000"/>
              <w:left w:val="single" w:sz="4" w:space="0" w:color="000000"/>
              <w:bottom w:val="single" w:sz="4" w:space="0" w:color="000000"/>
              <w:right w:val="single" w:sz="4" w:space="0" w:color="000000"/>
            </w:tcBorders>
            <w:hideMark/>
          </w:tcPr>
          <w:p w14:paraId="0B16B26E" w14:textId="77777777" w:rsidR="002C3333" w:rsidRDefault="002C3333">
            <w:pPr>
              <w:ind w:left="7"/>
            </w:pPr>
            <w:r>
              <w:rPr>
                <w:rFonts w:ascii="Times New Roman" w:eastAsia="Times New Roman" w:hAnsi="Times New Roman" w:cs="Times New Roman"/>
                <w:b/>
                <w:sz w:val="18"/>
              </w:rPr>
              <w:t>Possible Health Effects:</w:t>
            </w:r>
            <w:r>
              <w:rPr>
                <w:rFonts w:ascii="Times New Roman" w:eastAsia="Times New Roman" w:hAnsi="Times New Roman" w:cs="Times New Roman"/>
                <w:sz w:val="18"/>
              </w:rPr>
              <w:t xml:space="preserve"> </w:t>
            </w:r>
          </w:p>
          <w:p w14:paraId="00C7CECD" w14:textId="77777777" w:rsidR="002C3333" w:rsidRDefault="002C3333">
            <w:pPr>
              <w:spacing w:after="5"/>
              <w:ind w:left="7" w:right="42"/>
            </w:pPr>
            <w:r>
              <w:rPr>
                <w:rFonts w:ascii="Times New Roman" w:eastAsia="Times New Roman" w:hAnsi="Times New Roman" w:cs="Times New Roman"/>
                <w:sz w:val="18"/>
                <w:u w:val="single" w:color="000000"/>
              </w:rPr>
              <w:t>Short-Term</w:t>
            </w:r>
            <w:r>
              <w:rPr>
                <w:rFonts w:ascii="Times New Roman" w:eastAsia="Times New Roman" w:hAnsi="Times New Roman" w:cs="Times New Roman"/>
                <w:sz w:val="18"/>
              </w:rPr>
              <w:t xml:space="preserve">: Problems with attention, learning, and memory; dreamlike states, hallucinations; sedation; confusion and problems speaking; loss of memory; problems moving to the point of being immobile; </w:t>
            </w:r>
            <w:r>
              <w:rPr>
                <w:rFonts w:ascii="Times New Roman" w:eastAsia="Times New Roman" w:hAnsi="Times New Roman" w:cs="Times New Roman"/>
                <w:sz w:val="18"/>
              </w:rPr>
              <w:lastRenderedPageBreak/>
              <w:t xml:space="preserve">raised blood pressure; unconsciousness; slowed breathing that can lead to death. </w:t>
            </w:r>
          </w:p>
          <w:p w14:paraId="0C5541BA" w14:textId="77777777" w:rsidR="002C3333" w:rsidRDefault="002C3333">
            <w:pPr>
              <w:ind w:left="7" w:right="20"/>
            </w:pPr>
            <w:r>
              <w:rPr>
                <w:rFonts w:ascii="Times New Roman" w:eastAsia="Times New Roman" w:hAnsi="Times New Roman" w:cs="Times New Roman"/>
                <w:sz w:val="18"/>
                <w:u w:val="single" w:color="000000"/>
              </w:rPr>
              <w:t xml:space="preserve">Long-Term: </w:t>
            </w:r>
            <w:r>
              <w:rPr>
                <w:rFonts w:ascii="Times New Roman" w:eastAsia="Times New Roman" w:hAnsi="Times New Roman" w:cs="Times New Roman"/>
                <w:sz w:val="18"/>
              </w:rPr>
              <w:t xml:space="preserve">Problems with attention, learning, and memory; dreamlike states, hallucinations; sedation; confusion and problems speaking; loss of memory; problems moving to the point of being immobile; raised blood pressure; unconsciousness; slowed breathing that can lead to death. </w:t>
            </w:r>
            <w:r>
              <w:rPr>
                <w:rFonts w:ascii="Times New Roman" w:eastAsia="Times New Roman" w:hAnsi="Times New Roman" w:cs="Times New Roman"/>
                <w:sz w:val="18"/>
                <w:u w:val="single" w:color="000000"/>
              </w:rPr>
              <w:t>Other Health-Related Issues</w:t>
            </w:r>
            <w:r>
              <w:rPr>
                <w:rFonts w:ascii="Times New Roman" w:eastAsia="Times New Roman" w:hAnsi="Times New Roman" w:cs="Times New Roman"/>
                <w:sz w:val="18"/>
              </w:rPr>
              <w:t xml:space="preserve">: Sometimes used as a date rape drug. Risk of HIV, hepatitis, and other infectious diseases from shared needles. </w:t>
            </w:r>
          </w:p>
        </w:tc>
      </w:tr>
      <w:tr w:rsidR="002C3333" w14:paraId="14CE906F" w14:textId="77777777" w:rsidTr="002C3333">
        <w:trPr>
          <w:trHeight w:val="217"/>
        </w:trPr>
        <w:tc>
          <w:tcPr>
            <w:tcW w:w="2331" w:type="dxa"/>
            <w:tcBorders>
              <w:top w:val="single" w:sz="4" w:space="0" w:color="000000"/>
              <w:left w:val="single" w:sz="4" w:space="0" w:color="000000"/>
              <w:bottom w:val="single" w:sz="4" w:space="0" w:color="000000"/>
              <w:right w:val="single" w:sz="4" w:space="0" w:color="000000"/>
            </w:tcBorders>
            <w:hideMark/>
          </w:tcPr>
          <w:p w14:paraId="1EEF8980" w14:textId="77777777" w:rsidR="002C3333" w:rsidRDefault="002C3333">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667AA8D9" w14:textId="77777777" w:rsidR="002C3333" w:rsidRDefault="002C3333">
            <w:pPr>
              <w:ind w:left="1"/>
            </w:pPr>
            <w:r>
              <w:rPr>
                <w:rFonts w:ascii="Times New Roman" w:eastAsia="Times New Roman" w:hAnsi="Times New Roman" w:cs="Times New Roman"/>
                <w:sz w:val="18"/>
              </w:rPr>
              <w:t xml:space="preserve">Cat Valium, K, Special K, Vitamin K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AC7343" w14:textId="77777777" w:rsidR="002C3333" w:rsidRDefault="002C3333">
            <w:pPr>
              <w:rPr>
                <w:rFonts w:ascii="Calibri" w:eastAsia="Calibri" w:hAnsi="Calibri" w:cs="Calibri"/>
                <w:color w:val="000000"/>
              </w:rPr>
            </w:pPr>
          </w:p>
        </w:tc>
      </w:tr>
      <w:tr w:rsidR="002C3333" w14:paraId="52613A85" w14:textId="77777777" w:rsidTr="002C3333">
        <w:trPr>
          <w:trHeight w:val="216"/>
        </w:trPr>
        <w:tc>
          <w:tcPr>
            <w:tcW w:w="2331" w:type="dxa"/>
            <w:tcBorders>
              <w:top w:val="single" w:sz="4" w:space="0" w:color="000000"/>
              <w:left w:val="single" w:sz="4" w:space="0" w:color="000000"/>
              <w:bottom w:val="single" w:sz="4" w:space="0" w:color="000000"/>
              <w:right w:val="single" w:sz="4" w:space="0" w:color="000000"/>
            </w:tcBorders>
            <w:hideMark/>
          </w:tcPr>
          <w:p w14:paraId="5387A38D" w14:textId="77777777" w:rsidR="002C3333" w:rsidRDefault="002C3333">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159A3F07" w14:textId="77777777" w:rsidR="002C3333" w:rsidRDefault="002C3333">
            <w:pPr>
              <w:ind w:left="1"/>
            </w:pPr>
            <w:r>
              <w:rPr>
                <w:rFonts w:ascii="Times New Roman" w:eastAsia="Times New Roman" w:hAnsi="Times New Roman" w:cs="Times New Roman"/>
                <w:sz w:val="18"/>
              </w:rPr>
              <w:t xml:space="preserve">Ketalar®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70AB1C" w14:textId="77777777" w:rsidR="002C3333" w:rsidRDefault="002C3333">
            <w:pPr>
              <w:rPr>
                <w:rFonts w:ascii="Calibri" w:eastAsia="Calibri" w:hAnsi="Calibri" w:cs="Calibri"/>
                <w:color w:val="000000"/>
              </w:rPr>
            </w:pPr>
          </w:p>
        </w:tc>
      </w:tr>
      <w:tr w:rsidR="002C3333" w14:paraId="7FE4C687" w14:textId="77777777" w:rsidTr="002C3333">
        <w:trPr>
          <w:trHeight w:val="216"/>
        </w:trPr>
        <w:tc>
          <w:tcPr>
            <w:tcW w:w="2331" w:type="dxa"/>
            <w:tcBorders>
              <w:top w:val="single" w:sz="4" w:space="0" w:color="000000"/>
              <w:left w:val="single" w:sz="4" w:space="0" w:color="000000"/>
              <w:bottom w:val="single" w:sz="4" w:space="0" w:color="000000"/>
              <w:right w:val="single" w:sz="4" w:space="0" w:color="000000"/>
            </w:tcBorders>
            <w:hideMark/>
          </w:tcPr>
          <w:p w14:paraId="770EE8FD" w14:textId="77777777" w:rsidR="002C3333" w:rsidRDefault="002C3333">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120D289A" w14:textId="77777777" w:rsidR="002C3333" w:rsidRDefault="002C3333">
            <w:pPr>
              <w:ind w:left="1"/>
            </w:pPr>
            <w:r>
              <w:rPr>
                <w:rFonts w:ascii="Times New Roman" w:eastAsia="Times New Roman" w:hAnsi="Times New Roman" w:cs="Times New Roman"/>
                <w:sz w:val="18"/>
              </w:rPr>
              <w:t xml:space="preserve">Liquid, white powder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DB44A2" w14:textId="77777777" w:rsidR="002C3333" w:rsidRDefault="002C3333">
            <w:pPr>
              <w:rPr>
                <w:rFonts w:ascii="Calibri" w:eastAsia="Calibri" w:hAnsi="Calibri" w:cs="Calibri"/>
                <w:color w:val="000000"/>
              </w:rPr>
            </w:pPr>
          </w:p>
        </w:tc>
      </w:tr>
      <w:tr w:rsidR="002C3333" w14:paraId="2BE0935B" w14:textId="77777777" w:rsidTr="002C3333">
        <w:trPr>
          <w:trHeight w:val="427"/>
        </w:trPr>
        <w:tc>
          <w:tcPr>
            <w:tcW w:w="2331" w:type="dxa"/>
            <w:tcBorders>
              <w:top w:val="single" w:sz="4" w:space="0" w:color="000000"/>
              <w:left w:val="single" w:sz="4" w:space="0" w:color="000000"/>
              <w:bottom w:val="single" w:sz="4" w:space="0" w:color="000000"/>
              <w:right w:val="single" w:sz="4" w:space="0" w:color="000000"/>
            </w:tcBorders>
            <w:hideMark/>
          </w:tcPr>
          <w:p w14:paraId="06A1146B" w14:textId="77777777" w:rsidR="002C3333" w:rsidRDefault="002C3333">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6C990B95" w14:textId="1945ED3A" w:rsidR="002C3333" w:rsidRDefault="00AC137F">
            <w:pPr>
              <w:ind w:left="1"/>
            </w:pPr>
            <w:r>
              <w:rPr>
                <w:rFonts w:ascii="Times New Roman" w:eastAsia="Times New Roman" w:hAnsi="Times New Roman" w:cs="Times New Roman"/>
                <w:sz w:val="18"/>
              </w:rPr>
              <w:t>Injected,</w:t>
            </w:r>
            <w:r w:rsidR="002C3333">
              <w:rPr>
                <w:rFonts w:ascii="Times New Roman" w:eastAsia="Times New Roman" w:hAnsi="Times New Roman" w:cs="Times New Roman"/>
                <w:sz w:val="18"/>
              </w:rPr>
              <w:t xml:space="preserve"> snorted, smoked (powder added to tobacco or marijuana cigarettes), swallowed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5E549B" w14:textId="77777777" w:rsidR="002C3333" w:rsidRDefault="002C3333">
            <w:pPr>
              <w:rPr>
                <w:rFonts w:ascii="Calibri" w:eastAsia="Calibri" w:hAnsi="Calibri" w:cs="Calibri"/>
                <w:color w:val="000000"/>
              </w:rPr>
            </w:pPr>
          </w:p>
        </w:tc>
      </w:tr>
      <w:tr w:rsidR="002C3333" w14:paraId="4F71F81B" w14:textId="77777777" w:rsidTr="002C3333">
        <w:trPr>
          <w:trHeight w:val="1824"/>
        </w:trPr>
        <w:tc>
          <w:tcPr>
            <w:tcW w:w="2331" w:type="dxa"/>
            <w:tcBorders>
              <w:top w:val="single" w:sz="4" w:space="0" w:color="000000"/>
              <w:left w:val="single" w:sz="4" w:space="0" w:color="000000"/>
              <w:bottom w:val="single" w:sz="4" w:space="0" w:color="000000"/>
              <w:right w:val="single" w:sz="4" w:space="0" w:color="000000"/>
            </w:tcBorders>
            <w:hideMark/>
          </w:tcPr>
          <w:p w14:paraId="6181C3C0" w14:textId="77777777" w:rsidR="002C3333" w:rsidRDefault="002C3333">
            <w:r>
              <w:rPr>
                <w:rFonts w:ascii="Times New Roman" w:eastAsia="Times New Roman" w:hAnsi="Times New Roman" w:cs="Times New Roman"/>
                <w:b/>
                <w:sz w:val="18"/>
              </w:rPr>
              <w:lastRenderedPageBreak/>
              <w:t>DEA Schedule</w:t>
            </w:r>
            <w:r>
              <w:rPr>
                <w:rFonts w:ascii="Times New Roman" w:eastAsia="Times New Roman" w:hAnsi="Times New Roman" w:cs="Times New Roman"/>
                <w:sz w:val="18"/>
              </w:rPr>
              <w:t xml:space="preserve"> </w:t>
            </w:r>
          </w:p>
        </w:tc>
        <w:tc>
          <w:tcPr>
            <w:tcW w:w="3868" w:type="dxa"/>
            <w:tcBorders>
              <w:top w:val="single" w:sz="4" w:space="0" w:color="000000"/>
              <w:left w:val="single" w:sz="4" w:space="0" w:color="000000"/>
              <w:bottom w:val="single" w:sz="4" w:space="0" w:color="000000"/>
              <w:right w:val="single" w:sz="4" w:space="0" w:color="000000"/>
            </w:tcBorders>
            <w:hideMark/>
          </w:tcPr>
          <w:p w14:paraId="4A3F97B5" w14:textId="77777777" w:rsidR="002C3333" w:rsidRDefault="002C3333">
            <w:pPr>
              <w:ind w:left="1"/>
            </w:pPr>
            <w:r>
              <w:rPr>
                <w:rFonts w:ascii="Times New Roman" w:eastAsia="Times New Roman" w:hAnsi="Times New Roman" w:cs="Times New Roman"/>
                <w:sz w:val="18"/>
              </w:rPr>
              <w:t xml:space="preserve">Schedule III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ABD75F" w14:textId="77777777" w:rsidR="002C3333" w:rsidRDefault="002C3333">
            <w:pPr>
              <w:rPr>
                <w:rFonts w:ascii="Calibri" w:eastAsia="Calibri" w:hAnsi="Calibri" w:cs="Calibri"/>
                <w:color w:val="000000"/>
              </w:rPr>
            </w:pPr>
          </w:p>
        </w:tc>
      </w:tr>
    </w:tbl>
    <w:p w14:paraId="6247FE2C" w14:textId="77777777" w:rsidR="002C3333" w:rsidRDefault="002C3333" w:rsidP="002C3333">
      <w:pPr>
        <w:spacing w:after="0"/>
        <w:ind w:left="5"/>
        <w:rPr>
          <w:rFonts w:ascii="Calibri" w:eastAsia="Calibri" w:hAnsi="Calibri" w:cs="Calibri"/>
          <w:color w:val="000000"/>
          <w:kern w:val="2"/>
          <w:sz w:val="22"/>
          <w14:ligatures w14:val="standardContextual"/>
        </w:rPr>
      </w:pPr>
      <w:r>
        <w:rPr>
          <w:sz w:val="20"/>
        </w:rPr>
        <w:tab/>
      </w:r>
    </w:p>
    <w:tbl>
      <w:tblPr>
        <w:tblStyle w:val="TableGrid0"/>
        <w:tblW w:w="10170" w:type="dxa"/>
        <w:tblInd w:w="-5" w:type="dxa"/>
        <w:tblCellMar>
          <w:top w:w="5" w:type="dxa"/>
          <w:left w:w="106" w:type="dxa"/>
          <w:right w:w="94" w:type="dxa"/>
        </w:tblCellMar>
        <w:tblLook w:val="04A0" w:firstRow="1" w:lastRow="0" w:firstColumn="1" w:lastColumn="0" w:noHBand="0" w:noVBand="1"/>
      </w:tblPr>
      <w:tblGrid>
        <w:gridCol w:w="2240"/>
        <w:gridCol w:w="3959"/>
        <w:gridCol w:w="3971"/>
      </w:tblGrid>
      <w:tr w:rsidR="002C3333" w14:paraId="7418C443" w14:textId="77777777" w:rsidTr="002C3333">
        <w:trPr>
          <w:trHeight w:val="214"/>
        </w:trPr>
        <w:tc>
          <w:tcPr>
            <w:tcW w:w="2240" w:type="dxa"/>
            <w:tcBorders>
              <w:top w:val="single" w:sz="4" w:space="0" w:color="000000"/>
              <w:left w:val="single" w:sz="4" w:space="0" w:color="000000"/>
              <w:bottom w:val="single" w:sz="4" w:space="0" w:color="000000"/>
              <w:right w:val="nil"/>
            </w:tcBorders>
            <w:shd w:val="clear" w:color="auto" w:fill="A6B4E4" w:themeFill="text2" w:themeFillTint="40"/>
            <w:hideMark/>
          </w:tcPr>
          <w:p w14:paraId="7EEEBA11" w14:textId="77777777" w:rsidR="002C3333" w:rsidRDefault="002C3333">
            <w:r>
              <w:rPr>
                <w:rFonts w:ascii="Times New Roman" w:eastAsia="Times New Roman" w:hAnsi="Times New Roman" w:cs="Times New Roman"/>
                <w:b/>
                <w:sz w:val="18"/>
              </w:rPr>
              <w:t>Khat</w:t>
            </w:r>
            <w:r>
              <w:rPr>
                <w:rFonts w:ascii="Times New Roman" w:eastAsia="Times New Roman" w:hAnsi="Times New Roman" w:cs="Times New Roman"/>
                <w:sz w:val="18"/>
              </w:rPr>
              <w:t xml:space="preserve"> </w:t>
            </w:r>
          </w:p>
        </w:tc>
        <w:tc>
          <w:tcPr>
            <w:tcW w:w="3959" w:type="dxa"/>
            <w:tcBorders>
              <w:top w:val="single" w:sz="4" w:space="0" w:color="000000"/>
              <w:left w:val="nil"/>
              <w:bottom w:val="single" w:sz="4" w:space="0" w:color="000000"/>
              <w:right w:val="single" w:sz="4" w:space="0" w:color="000000"/>
            </w:tcBorders>
            <w:shd w:val="clear" w:color="auto" w:fill="A6B4E4" w:themeFill="text2" w:themeFillTint="40"/>
          </w:tcPr>
          <w:p w14:paraId="27652772" w14:textId="77777777" w:rsidR="002C3333" w:rsidRDefault="002C3333"/>
        </w:tc>
        <w:tc>
          <w:tcPr>
            <w:tcW w:w="3971" w:type="dxa"/>
            <w:vMerge w:val="restart"/>
            <w:tcBorders>
              <w:top w:val="single" w:sz="4" w:space="0" w:color="000000"/>
              <w:left w:val="single" w:sz="4" w:space="0" w:color="000000"/>
              <w:bottom w:val="single" w:sz="4" w:space="0" w:color="000000"/>
              <w:right w:val="single" w:sz="4" w:space="0" w:color="000000"/>
            </w:tcBorders>
            <w:hideMark/>
          </w:tcPr>
          <w:p w14:paraId="6EA71142" w14:textId="77777777" w:rsidR="002C3333" w:rsidRDefault="002C3333">
            <w:pPr>
              <w:ind w:left="7"/>
            </w:pPr>
            <w:r>
              <w:rPr>
                <w:rFonts w:ascii="Times New Roman" w:eastAsia="Times New Roman" w:hAnsi="Times New Roman" w:cs="Times New Roman"/>
                <w:b/>
                <w:sz w:val="18"/>
              </w:rPr>
              <w:t>Possible Health Effects:</w:t>
            </w:r>
            <w:r>
              <w:rPr>
                <w:rFonts w:ascii="Times New Roman" w:eastAsia="Times New Roman" w:hAnsi="Times New Roman" w:cs="Times New Roman"/>
                <w:sz w:val="18"/>
              </w:rPr>
              <w:t xml:space="preserve"> </w:t>
            </w:r>
          </w:p>
          <w:p w14:paraId="1A4E10CF" w14:textId="77777777" w:rsidR="002C3333" w:rsidRDefault="002C3333">
            <w:pPr>
              <w:spacing w:after="5"/>
              <w:ind w:left="7"/>
            </w:pPr>
            <w:r>
              <w:rPr>
                <w:rFonts w:ascii="Times New Roman" w:eastAsia="Times New Roman" w:hAnsi="Times New Roman" w:cs="Times New Roman"/>
                <w:sz w:val="18"/>
                <w:u w:val="single" w:color="000000"/>
              </w:rPr>
              <w:t>Short-Term</w:t>
            </w:r>
            <w:r>
              <w:rPr>
                <w:rFonts w:ascii="Times New Roman" w:eastAsia="Times New Roman" w:hAnsi="Times New Roman" w:cs="Times New Roman"/>
                <w:sz w:val="18"/>
              </w:rPr>
              <w:t xml:space="preserve">: Euphoria, increased alertness and arousal, increased blood pressure and heart rate, depression, inability to concentrate, irritability, loss of appetite, insomnia. </w:t>
            </w:r>
            <w:r>
              <w:rPr>
                <w:rFonts w:ascii="Times New Roman" w:eastAsia="Times New Roman" w:hAnsi="Times New Roman" w:cs="Times New Roman"/>
                <w:sz w:val="18"/>
                <w:u w:val="single" w:color="000000"/>
              </w:rPr>
              <w:t xml:space="preserve">Long-Term: </w:t>
            </w:r>
            <w:r>
              <w:rPr>
                <w:rFonts w:ascii="Times New Roman" w:eastAsia="Times New Roman" w:hAnsi="Times New Roman" w:cs="Times New Roman"/>
                <w:sz w:val="18"/>
              </w:rPr>
              <w:t xml:space="preserve">Tooth decay and gum disease; gastrointestinal disorders such as constipation, ulcers, stomach </w:t>
            </w:r>
          </w:p>
          <w:p w14:paraId="3FE7842E" w14:textId="77777777" w:rsidR="002C3333" w:rsidRDefault="002C3333">
            <w:pPr>
              <w:spacing w:after="1"/>
              <w:ind w:left="7"/>
            </w:pPr>
            <w:r>
              <w:rPr>
                <w:rFonts w:ascii="Times New Roman" w:eastAsia="Times New Roman" w:hAnsi="Times New Roman" w:cs="Times New Roman"/>
                <w:sz w:val="18"/>
              </w:rPr>
              <w:t xml:space="preserve">inflammation, and increased risk of upper gastrointestinal tumors; cardiovascular disorders such as irregular heartbeat, decreased blood flow, and heart attack. In rare cases associated with heavy use: psychotic reactions such as fear, anxiety, grandiose delusions (fantastical beliefs that one has superior qualities such as fame, power and wealth), hallucinations, and paranoia. </w:t>
            </w:r>
          </w:p>
          <w:p w14:paraId="2FC6AE48" w14:textId="77777777" w:rsidR="002C3333" w:rsidRDefault="002C3333">
            <w:pPr>
              <w:ind w:left="7"/>
            </w:pPr>
            <w:r>
              <w:rPr>
                <w:rFonts w:ascii="Times New Roman" w:eastAsia="Times New Roman" w:hAnsi="Times New Roman" w:cs="Times New Roman"/>
                <w:sz w:val="18"/>
                <w:u w:val="single" w:color="000000"/>
              </w:rPr>
              <w:t xml:space="preserve">Other Health-Related Issues: </w:t>
            </w:r>
            <w:r>
              <w:rPr>
                <w:rFonts w:ascii="Times New Roman" w:eastAsia="Times New Roman" w:hAnsi="Times New Roman" w:cs="Times New Roman"/>
                <w:sz w:val="18"/>
              </w:rPr>
              <w:t xml:space="preserve">Un known </w:t>
            </w:r>
          </w:p>
        </w:tc>
      </w:tr>
      <w:tr w:rsidR="002C3333" w14:paraId="0D82C7BF" w14:textId="77777777" w:rsidTr="002C3333">
        <w:trPr>
          <w:trHeight w:val="428"/>
        </w:trPr>
        <w:tc>
          <w:tcPr>
            <w:tcW w:w="2240" w:type="dxa"/>
            <w:tcBorders>
              <w:top w:val="single" w:sz="4" w:space="0" w:color="000000"/>
              <w:left w:val="single" w:sz="4" w:space="0" w:color="000000"/>
              <w:bottom w:val="single" w:sz="4" w:space="0" w:color="000000"/>
              <w:right w:val="single" w:sz="4" w:space="0" w:color="000000"/>
            </w:tcBorders>
            <w:hideMark/>
          </w:tcPr>
          <w:p w14:paraId="752E42CF" w14:textId="77777777" w:rsidR="002C3333" w:rsidRDefault="002C3333">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0AC604CD" w14:textId="77777777" w:rsidR="002C3333" w:rsidRDefault="002C3333">
            <w:pPr>
              <w:ind w:left="6"/>
            </w:pPr>
            <w:r>
              <w:rPr>
                <w:rFonts w:ascii="Times New Roman" w:eastAsia="Times New Roman" w:hAnsi="Times New Roman" w:cs="Times New Roman"/>
                <w:sz w:val="18"/>
              </w:rPr>
              <w:t xml:space="preserve">Abyssinian Tea, African Salad, Catha, Chat, Kat, Oat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B2DADA" w14:textId="77777777" w:rsidR="002C3333" w:rsidRDefault="002C3333">
            <w:pPr>
              <w:rPr>
                <w:rFonts w:ascii="Calibri" w:eastAsia="Calibri" w:hAnsi="Calibri" w:cs="Calibri"/>
                <w:color w:val="000000"/>
              </w:rPr>
            </w:pPr>
          </w:p>
        </w:tc>
      </w:tr>
      <w:tr w:rsidR="002C3333" w14:paraId="436BF755"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6D35A919" w14:textId="77777777" w:rsidR="002C3333" w:rsidRDefault="002C3333">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3EA5258F" w14:textId="77777777" w:rsidR="002C3333" w:rsidRDefault="002C3333">
            <w:pPr>
              <w:ind w:left="6"/>
            </w:pPr>
            <w:r>
              <w:rPr>
                <w:rFonts w:ascii="Times New Roman" w:eastAsia="Times New Roman" w:hAnsi="Times New Roman" w:cs="Times New Roman"/>
                <w:sz w:val="18"/>
              </w:rPr>
              <w:t xml:space="preserve">None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9EB3FE" w14:textId="77777777" w:rsidR="002C3333" w:rsidRDefault="002C3333">
            <w:pPr>
              <w:rPr>
                <w:rFonts w:ascii="Calibri" w:eastAsia="Calibri" w:hAnsi="Calibri" w:cs="Calibri"/>
                <w:color w:val="000000"/>
              </w:rPr>
            </w:pPr>
          </w:p>
        </w:tc>
      </w:tr>
      <w:tr w:rsidR="002C3333" w14:paraId="29BCA600"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1FFC4C7A" w14:textId="77777777" w:rsidR="002C3333" w:rsidRDefault="002C3333">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2D0E9A92" w14:textId="77777777" w:rsidR="002C3333" w:rsidRDefault="002C3333">
            <w:pPr>
              <w:ind w:left="6"/>
            </w:pPr>
            <w:r>
              <w:rPr>
                <w:rFonts w:ascii="Times New Roman" w:eastAsia="Times New Roman" w:hAnsi="Times New Roman" w:cs="Times New Roman"/>
                <w:sz w:val="18"/>
              </w:rPr>
              <w:t xml:space="preserve">Fresh or dried leaves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4C9A00" w14:textId="77777777" w:rsidR="002C3333" w:rsidRDefault="002C3333">
            <w:pPr>
              <w:rPr>
                <w:rFonts w:ascii="Calibri" w:eastAsia="Calibri" w:hAnsi="Calibri" w:cs="Calibri"/>
                <w:color w:val="000000"/>
              </w:rPr>
            </w:pPr>
          </w:p>
        </w:tc>
      </w:tr>
      <w:tr w:rsidR="002C3333" w14:paraId="249160E2"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45392A16" w14:textId="77777777" w:rsidR="002C3333" w:rsidRDefault="002C3333">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3D1070E6" w14:textId="77777777" w:rsidR="002C3333" w:rsidRDefault="002C3333">
            <w:pPr>
              <w:ind w:left="6"/>
            </w:pPr>
            <w:r>
              <w:rPr>
                <w:rFonts w:ascii="Times New Roman" w:eastAsia="Times New Roman" w:hAnsi="Times New Roman" w:cs="Times New Roman"/>
                <w:sz w:val="18"/>
              </w:rPr>
              <w:t xml:space="preserve">Chewed, brewed as tea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C7F867" w14:textId="77777777" w:rsidR="002C3333" w:rsidRDefault="002C3333">
            <w:pPr>
              <w:rPr>
                <w:rFonts w:ascii="Calibri" w:eastAsia="Calibri" w:hAnsi="Calibri" w:cs="Calibri"/>
                <w:color w:val="000000"/>
              </w:rPr>
            </w:pPr>
          </w:p>
        </w:tc>
      </w:tr>
      <w:tr w:rsidR="002C3333" w14:paraId="51420EBC" w14:textId="77777777" w:rsidTr="002C3333">
        <w:trPr>
          <w:trHeight w:val="1618"/>
        </w:trPr>
        <w:tc>
          <w:tcPr>
            <w:tcW w:w="2240" w:type="dxa"/>
            <w:tcBorders>
              <w:top w:val="single" w:sz="4" w:space="0" w:color="000000"/>
              <w:left w:val="single" w:sz="4" w:space="0" w:color="000000"/>
              <w:bottom w:val="single" w:sz="4" w:space="0" w:color="000000"/>
              <w:right w:val="single" w:sz="4" w:space="0" w:color="000000"/>
            </w:tcBorders>
            <w:hideMark/>
          </w:tcPr>
          <w:p w14:paraId="783E934B" w14:textId="77777777" w:rsidR="002C3333" w:rsidRDefault="002C3333">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13A5923E" w14:textId="77777777" w:rsidR="002C3333" w:rsidRDefault="002C3333">
            <w:pPr>
              <w:ind w:left="6"/>
            </w:pPr>
            <w:r>
              <w:rPr>
                <w:rFonts w:ascii="Times New Roman" w:eastAsia="Times New Roman" w:hAnsi="Times New Roman" w:cs="Times New Roman"/>
                <w:sz w:val="18"/>
              </w:rPr>
              <w:t xml:space="preserve">Cathinone is a Schedule I drug, making khat use illegal, but the khat plant is not controlled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E820E0" w14:textId="77777777" w:rsidR="002C3333" w:rsidRDefault="002C3333">
            <w:pPr>
              <w:rPr>
                <w:rFonts w:ascii="Calibri" w:eastAsia="Calibri" w:hAnsi="Calibri" w:cs="Calibri"/>
                <w:color w:val="000000"/>
              </w:rPr>
            </w:pPr>
          </w:p>
        </w:tc>
      </w:tr>
    </w:tbl>
    <w:p w14:paraId="6E3C2892" w14:textId="77777777" w:rsidR="002C3333" w:rsidRDefault="002C3333" w:rsidP="002C3333">
      <w:pPr>
        <w:spacing w:after="134"/>
        <w:ind w:left="5"/>
        <w:rPr>
          <w:rFonts w:ascii="Calibri" w:eastAsia="Calibri" w:hAnsi="Calibri" w:cs="Calibri"/>
          <w:color w:val="000000"/>
          <w:kern w:val="2"/>
          <w:sz w:val="20"/>
          <w14:ligatures w14:val="standardContextual"/>
        </w:rPr>
      </w:pPr>
      <w:r>
        <w:rPr>
          <w:sz w:val="20"/>
        </w:rPr>
        <w:tab/>
      </w:r>
      <w:r>
        <w:rPr>
          <w:sz w:val="20"/>
        </w:rPr>
        <w:tab/>
      </w:r>
      <w:r>
        <w:rPr>
          <w:sz w:val="20"/>
        </w:rPr>
        <w:tab/>
      </w:r>
    </w:p>
    <w:tbl>
      <w:tblPr>
        <w:tblStyle w:val="TableGrid0"/>
        <w:tblW w:w="10170" w:type="dxa"/>
        <w:tblInd w:w="-5" w:type="dxa"/>
        <w:tblCellMar>
          <w:top w:w="10" w:type="dxa"/>
          <w:left w:w="106" w:type="dxa"/>
          <w:right w:w="115" w:type="dxa"/>
        </w:tblCellMar>
        <w:tblLook w:val="04A0" w:firstRow="1" w:lastRow="0" w:firstColumn="1" w:lastColumn="0" w:noHBand="0" w:noVBand="1"/>
      </w:tblPr>
      <w:tblGrid>
        <w:gridCol w:w="2240"/>
        <w:gridCol w:w="3959"/>
        <w:gridCol w:w="3971"/>
      </w:tblGrid>
      <w:tr w:rsidR="002C3333" w14:paraId="49D269DB" w14:textId="77777777" w:rsidTr="002C3333">
        <w:trPr>
          <w:trHeight w:val="421"/>
        </w:trPr>
        <w:tc>
          <w:tcPr>
            <w:tcW w:w="2240" w:type="dxa"/>
            <w:tcBorders>
              <w:top w:val="single" w:sz="4" w:space="0" w:color="000000"/>
              <w:left w:val="single" w:sz="4" w:space="0" w:color="000000"/>
              <w:bottom w:val="single" w:sz="4" w:space="0" w:color="000000"/>
              <w:right w:val="nil"/>
            </w:tcBorders>
            <w:shd w:val="clear" w:color="auto" w:fill="A6B4E4" w:themeFill="text2" w:themeFillTint="40"/>
            <w:hideMark/>
          </w:tcPr>
          <w:p w14:paraId="6BAA21F1" w14:textId="77777777" w:rsidR="002C3333" w:rsidRDefault="002C3333">
            <w:r>
              <w:rPr>
                <w:rFonts w:ascii="Times New Roman" w:eastAsia="Times New Roman" w:hAnsi="Times New Roman" w:cs="Times New Roman"/>
                <w:b/>
                <w:sz w:val="18"/>
              </w:rPr>
              <w:t>Kratom</w:t>
            </w:r>
            <w:r>
              <w:rPr>
                <w:rFonts w:ascii="Times New Roman" w:eastAsia="Times New Roman" w:hAnsi="Times New Roman" w:cs="Times New Roman"/>
                <w:sz w:val="18"/>
              </w:rPr>
              <w:t xml:space="preserve"> </w:t>
            </w:r>
          </w:p>
        </w:tc>
        <w:tc>
          <w:tcPr>
            <w:tcW w:w="3959" w:type="dxa"/>
            <w:tcBorders>
              <w:top w:val="single" w:sz="4" w:space="0" w:color="000000"/>
              <w:left w:val="nil"/>
              <w:bottom w:val="single" w:sz="4" w:space="0" w:color="000000"/>
              <w:right w:val="single" w:sz="4" w:space="0" w:color="000000"/>
            </w:tcBorders>
            <w:shd w:val="clear" w:color="auto" w:fill="A6B4E4" w:themeFill="text2" w:themeFillTint="40"/>
          </w:tcPr>
          <w:p w14:paraId="78E503AC" w14:textId="77777777" w:rsidR="002C3333" w:rsidRDefault="002C3333"/>
        </w:tc>
        <w:tc>
          <w:tcPr>
            <w:tcW w:w="3971" w:type="dxa"/>
            <w:vMerge w:val="restart"/>
            <w:tcBorders>
              <w:top w:val="single" w:sz="4" w:space="0" w:color="000000"/>
              <w:left w:val="single" w:sz="4" w:space="0" w:color="000000"/>
              <w:bottom w:val="single" w:sz="4" w:space="0" w:color="000000"/>
              <w:right w:val="single" w:sz="4" w:space="0" w:color="000000"/>
            </w:tcBorders>
            <w:hideMark/>
          </w:tcPr>
          <w:p w14:paraId="04CAD7B2" w14:textId="77777777" w:rsidR="002C3333" w:rsidRDefault="002C3333">
            <w:pPr>
              <w:ind w:left="6"/>
            </w:pPr>
            <w:r>
              <w:rPr>
                <w:rFonts w:ascii="Times New Roman" w:eastAsia="Times New Roman" w:hAnsi="Times New Roman" w:cs="Times New Roman"/>
                <w:b/>
                <w:sz w:val="18"/>
              </w:rPr>
              <w:t>Possible Health Effects:</w:t>
            </w:r>
            <w:r>
              <w:rPr>
                <w:rFonts w:ascii="Times New Roman" w:eastAsia="Times New Roman" w:hAnsi="Times New Roman" w:cs="Times New Roman"/>
                <w:sz w:val="18"/>
              </w:rPr>
              <w:t xml:space="preserve"> </w:t>
            </w:r>
          </w:p>
          <w:p w14:paraId="74C18507" w14:textId="77777777" w:rsidR="002C3333" w:rsidRDefault="002C3333">
            <w:pPr>
              <w:ind w:left="7"/>
            </w:pPr>
            <w:r>
              <w:rPr>
                <w:rFonts w:ascii="Times New Roman" w:eastAsia="Times New Roman" w:hAnsi="Times New Roman" w:cs="Times New Roman"/>
                <w:sz w:val="18"/>
                <w:u w:val="single" w:color="000000"/>
              </w:rPr>
              <w:t>Short-Term</w:t>
            </w:r>
            <w:r>
              <w:rPr>
                <w:rFonts w:ascii="Times New Roman" w:eastAsia="Times New Roman" w:hAnsi="Times New Roman" w:cs="Times New Roman"/>
                <w:sz w:val="18"/>
              </w:rPr>
              <w:t xml:space="preserve">: Sensitivity to sunburn, nausea, itching, sweating, dry mouth, constipation, increased urination, loss of appetite; Increased energy, sociability, alertness with low doses; Sedation, euphoria, decreased pain with high doses. Long-Term: Anorexia, weight loss, insomnia, skin darkening, dry mouth, frequent urination, constipation; hallucinations with long-term use at high doses in some users. </w:t>
            </w:r>
          </w:p>
          <w:p w14:paraId="3F1954AE" w14:textId="77777777" w:rsidR="002C3333" w:rsidRDefault="002C3333">
            <w:pPr>
              <w:ind w:left="7"/>
            </w:pPr>
            <w:r>
              <w:rPr>
                <w:rFonts w:ascii="Times New Roman" w:eastAsia="Times New Roman" w:hAnsi="Times New Roman" w:cs="Times New Roman"/>
                <w:sz w:val="18"/>
                <w:u w:val="single" w:color="000000"/>
              </w:rPr>
              <w:t xml:space="preserve">Other Health-Related Issues: </w:t>
            </w:r>
            <w:r>
              <w:rPr>
                <w:rFonts w:ascii="Times New Roman" w:eastAsia="Times New Roman" w:hAnsi="Times New Roman" w:cs="Times New Roman"/>
                <w:sz w:val="18"/>
              </w:rPr>
              <w:t xml:space="preserve">Unknown </w:t>
            </w:r>
          </w:p>
        </w:tc>
      </w:tr>
      <w:tr w:rsidR="002C3333" w14:paraId="746E11E2" w14:textId="77777777" w:rsidTr="002C3333">
        <w:trPr>
          <w:trHeight w:val="424"/>
        </w:trPr>
        <w:tc>
          <w:tcPr>
            <w:tcW w:w="2240" w:type="dxa"/>
            <w:tcBorders>
              <w:top w:val="single" w:sz="4" w:space="0" w:color="000000"/>
              <w:left w:val="single" w:sz="4" w:space="0" w:color="000000"/>
              <w:bottom w:val="single" w:sz="4" w:space="0" w:color="000000"/>
              <w:right w:val="single" w:sz="4" w:space="0" w:color="000000"/>
            </w:tcBorders>
            <w:hideMark/>
          </w:tcPr>
          <w:p w14:paraId="2833DDD0" w14:textId="77777777" w:rsidR="002C3333" w:rsidRDefault="002C3333">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68D13393" w14:textId="77777777" w:rsidR="002C3333" w:rsidRDefault="002C3333">
            <w:pPr>
              <w:ind w:left="6"/>
            </w:pPr>
            <w:r>
              <w:rPr>
                <w:rFonts w:ascii="Times New Roman" w:eastAsia="Times New Roman" w:hAnsi="Times New Roman" w:cs="Times New Roman"/>
                <w:sz w:val="18"/>
              </w:rPr>
              <w:t xml:space="preserve">Herbal Speedball, Biak-biak, Ketum, Kahuam, Ithang, Thom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B48564" w14:textId="77777777" w:rsidR="002C3333" w:rsidRDefault="002C3333">
            <w:pPr>
              <w:rPr>
                <w:rFonts w:ascii="Calibri" w:eastAsia="Calibri" w:hAnsi="Calibri" w:cs="Calibri"/>
                <w:color w:val="000000"/>
              </w:rPr>
            </w:pPr>
          </w:p>
        </w:tc>
      </w:tr>
      <w:tr w:rsidR="002C3333" w14:paraId="05027CCB"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3DB11306" w14:textId="77777777" w:rsidR="002C3333" w:rsidRDefault="002C3333">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4D3393D6" w14:textId="77777777" w:rsidR="002C3333" w:rsidRDefault="002C3333">
            <w:pPr>
              <w:ind w:left="6"/>
            </w:pPr>
            <w:r>
              <w:rPr>
                <w:rFonts w:ascii="Times New Roman" w:eastAsia="Times New Roman" w:hAnsi="Times New Roman" w:cs="Times New Roman"/>
                <w:sz w:val="18"/>
              </w:rPr>
              <w:t xml:space="preserve">None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BB5D98" w14:textId="77777777" w:rsidR="002C3333" w:rsidRDefault="002C3333">
            <w:pPr>
              <w:rPr>
                <w:rFonts w:ascii="Calibri" w:eastAsia="Calibri" w:hAnsi="Calibri" w:cs="Calibri"/>
                <w:color w:val="000000"/>
              </w:rPr>
            </w:pPr>
          </w:p>
        </w:tc>
      </w:tr>
      <w:tr w:rsidR="002C3333" w14:paraId="5A6B4031"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4B7A32CA" w14:textId="77777777" w:rsidR="002C3333" w:rsidRDefault="002C3333">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29FB4E52" w14:textId="77777777" w:rsidR="002C3333" w:rsidRDefault="002C3333">
            <w:pPr>
              <w:ind w:left="6"/>
            </w:pPr>
            <w:r>
              <w:rPr>
                <w:rFonts w:ascii="Times New Roman" w:eastAsia="Times New Roman" w:hAnsi="Times New Roman" w:cs="Times New Roman"/>
                <w:sz w:val="18"/>
              </w:rPr>
              <w:t xml:space="preserve">Fresh or dried leaves, powder, liquid, gum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F85896" w14:textId="77777777" w:rsidR="002C3333" w:rsidRDefault="002C3333">
            <w:pPr>
              <w:rPr>
                <w:rFonts w:ascii="Calibri" w:eastAsia="Calibri" w:hAnsi="Calibri" w:cs="Calibri"/>
                <w:color w:val="000000"/>
              </w:rPr>
            </w:pPr>
          </w:p>
        </w:tc>
      </w:tr>
      <w:tr w:rsidR="002C3333" w14:paraId="18FB8951" w14:textId="77777777" w:rsidTr="002C3333">
        <w:trPr>
          <w:trHeight w:val="427"/>
        </w:trPr>
        <w:tc>
          <w:tcPr>
            <w:tcW w:w="2240" w:type="dxa"/>
            <w:tcBorders>
              <w:top w:val="single" w:sz="4" w:space="0" w:color="000000"/>
              <w:left w:val="single" w:sz="4" w:space="0" w:color="000000"/>
              <w:bottom w:val="single" w:sz="4" w:space="0" w:color="000000"/>
              <w:right w:val="single" w:sz="4" w:space="0" w:color="000000"/>
            </w:tcBorders>
            <w:hideMark/>
          </w:tcPr>
          <w:p w14:paraId="5F8A7F80" w14:textId="77777777" w:rsidR="002C3333" w:rsidRDefault="002C3333">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5F4A3A53" w14:textId="77777777" w:rsidR="002C3333" w:rsidRDefault="002C3333">
            <w:pPr>
              <w:ind w:left="6"/>
            </w:pPr>
            <w:r>
              <w:rPr>
                <w:rFonts w:ascii="Times New Roman" w:eastAsia="Times New Roman" w:hAnsi="Times New Roman" w:cs="Times New Roman"/>
                <w:sz w:val="18"/>
              </w:rPr>
              <w:t xml:space="preserve">Chewed (whole leaves); eaten (mixed in food or brewed as tea); occasionally smoked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AC606A" w14:textId="77777777" w:rsidR="002C3333" w:rsidRDefault="002C3333">
            <w:pPr>
              <w:rPr>
                <w:rFonts w:ascii="Calibri" w:eastAsia="Calibri" w:hAnsi="Calibri" w:cs="Calibri"/>
                <w:color w:val="000000"/>
              </w:rPr>
            </w:pPr>
          </w:p>
        </w:tc>
      </w:tr>
      <w:tr w:rsidR="002C3333" w14:paraId="3DB112A2" w14:textId="77777777" w:rsidTr="002C3333">
        <w:trPr>
          <w:trHeight w:val="581"/>
        </w:trPr>
        <w:tc>
          <w:tcPr>
            <w:tcW w:w="2240" w:type="dxa"/>
            <w:tcBorders>
              <w:top w:val="single" w:sz="4" w:space="0" w:color="000000"/>
              <w:left w:val="single" w:sz="4" w:space="0" w:color="000000"/>
              <w:bottom w:val="single" w:sz="4" w:space="0" w:color="000000"/>
              <w:right w:val="single" w:sz="4" w:space="0" w:color="000000"/>
            </w:tcBorders>
            <w:hideMark/>
          </w:tcPr>
          <w:p w14:paraId="04CFB4DB" w14:textId="77777777" w:rsidR="002C3333" w:rsidRDefault="002C3333">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2F59F387" w14:textId="77777777" w:rsidR="002C3333" w:rsidRDefault="002C3333">
            <w:pPr>
              <w:ind w:left="6"/>
            </w:pPr>
            <w:r>
              <w:rPr>
                <w:rFonts w:ascii="Times New Roman" w:eastAsia="Times New Roman" w:hAnsi="Times New Roman" w:cs="Times New Roman"/>
                <w:sz w:val="18"/>
              </w:rPr>
              <w:t xml:space="preserve">Not scheduled.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E03DD6" w14:textId="77777777" w:rsidR="002C3333" w:rsidRDefault="002C3333">
            <w:pPr>
              <w:rPr>
                <w:rFonts w:ascii="Calibri" w:eastAsia="Calibri" w:hAnsi="Calibri" w:cs="Calibri"/>
                <w:color w:val="000000"/>
              </w:rPr>
            </w:pPr>
          </w:p>
        </w:tc>
      </w:tr>
    </w:tbl>
    <w:p w14:paraId="4D24AD2A" w14:textId="77777777" w:rsidR="002C3333" w:rsidRDefault="002C3333" w:rsidP="002C3333">
      <w:pPr>
        <w:spacing w:after="0"/>
        <w:ind w:left="5"/>
        <w:jc w:val="both"/>
        <w:rPr>
          <w:rFonts w:ascii="Calibri" w:eastAsia="Calibri" w:hAnsi="Calibri" w:cs="Calibri"/>
          <w:color w:val="000000"/>
          <w:kern w:val="2"/>
          <w:sz w:val="22"/>
          <w14:ligatures w14:val="standardContextual"/>
        </w:rPr>
      </w:pPr>
      <w:r>
        <w:rPr>
          <w:sz w:val="20"/>
        </w:rPr>
        <w:tab/>
      </w:r>
    </w:p>
    <w:tbl>
      <w:tblPr>
        <w:tblStyle w:val="TableGrid0"/>
        <w:tblW w:w="10170" w:type="dxa"/>
        <w:tblInd w:w="-5" w:type="dxa"/>
        <w:tblCellMar>
          <w:top w:w="5" w:type="dxa"/>
          <w:left w:w="106" w:type="dxa"/>
          <w:right w:w="115" w:type="dxa"/>
        </w:tblCellMar>
        <w:tblLook w:val="04A0" w:firstRow="1" w:lastRow="0" w:firstColumn="1" w:lastColumn="0" w:noHBand="0" w:noVBand="1"/>
      </w:tblPr>
      <w:tblGrid>
        <w:gridCol w:w="2240"/>
        <w:gridCol w:w="3959"/>
        <w:gridCol w:w="3971"/>
      </w:tblGrid>
      <w:tr w:rsidR="002C3333" w14:paraId="60706797" w14:textId="77777777" w:rsidTr="002C3333">
        <w:trPr>
          <w:trHeight w:val="214"/>
        </w:trPr>
        <w:tc>
          <w:tcPr>
            <w:tcW w:w="2240" w:type="dxa"/>
            <w:tcBorders>
              <w:top w:val="single" w:sz="4" w:space="0" w:color="000000"/>
              <w:left w:val="single" w:sz="4" w:space="0" w:color="000000"/>
              <w:bottom w:val="single" w:sz="4" w:space="0" w:color="000000"/>
              <w:right w:val="nil"/>
            </w:tcBorders>
            <w:shd w:val="clear" w:color="auto" w:fill="A6B4E4" w:themeFill="text2" w:themeFillTint="40"/>
            <w:hideMark/>
          </w:tcPr>
          <w:p w14:paraId="1313F5B5" w14:textId="77777777" w:rsidR="002C3333" w:rsidRDefault="002C3333">
            <w:r>
              <w:rPr>
                <w:rFonts w:ascii="Times New Roman" w:eastAsia="Times New Roman" w:hAnsi="Times New Roman" w:cs="Times New Roman"/>
                <w:b/>
                <w:sz w:val="18"/>
              </w:rPr>
              <w:t>LSD</w:t>
            </w:r>
            <w:r>
              <w:rPr>
                <w:rFonts w:ascii="Times New Roman" w:eastAsia="Times New Roman" w:hAnsi="Times New Roman" w:cs="Times New Roman"/>
                <w:sz w:val="18"/>
              </w:rPr>
              <w:t xml:space="preserve"> </w:t>
            </w:r>
          </w:p>
        </w:tc>
        <w:tc>
          <w:tcPr>
            <w:tcW w:w="3959" w:type="dxa"/>
            <w:tcBorders>
              <w:top w:val="single" w:sz="4" w:space="0" w:color="000000"/>
              <w:left w:val="nil"/>
              <w:bottom w:val="single" w:sz="4" w:space="0" w:color="000000"/>
              <w:right w:val="single" w:sz="4" w:space="0" w:color="000000"/>
            </w:tcBorders>
            <w:shd w:val="clear" w:color="auto" w:fill="A6B4E4" w:themeFill="text2" w:themeFillTint="40"/>
          </w:tcPr>
          <w:p w14:paraId="7FC5E53C" w14:textId="77777777" w:rsidR="002C3333" w:rsidRDefault="002C3333"/>
        </w:tc>
        <w:tc>
          <w:tcPr>
            <w:tcW w:w="3971" w:type="dxa"/>
            <w:vMerge w:val="restart"/>
            <w:tcBorders>
              <w:top w:val="single" w:sz="4" w:space="0" w:color="000000"/>
              <w:left w:val="single" w:sz="4" w:space="0" w:color="000000"/>
              <w:bottom w:val="single" w:sz="4" w:space="0" w:color="000000"/>
              <w:right w:val="single" w:sz="4" w:space="0" w:color="000000"/>
            </w:tcBorders>
            <w:hideMark/>
          </w:tcPr>
          <w:p w14:paraId="65F82FBF" w14:textId="77777777" w:rsidR="002C3333" w:rsidRDefault="002C3333">
            <w:pPr>
              <w:ind w:left="7"/>
            </w:pPr>
            <w:r>
              <w:rPr>
                <w:rFonts w:ascii="Times New Roman" w:eastAsia="Times New Roman" w:hAnsi="Times New Roman" w:cs="Times New Roman"/>
                <w:b/>
                <w:sz w:val="18"/>
              </w:rPr>
              <w:t>Possible Health Effects:</w:t>
            </w:r>
            <w:r>
              <w:rPr>
                <w:rFonts w:ascii="Times New Roman" w:eastAsia="Times New Roman" w:hAnsi="Times New Roman" w:cs="Times New Roman"/>
                <w:sz w:val="18"/>
              </w:rPr>
              <w:t xml:space="preserve"> </w:t>
            </w:r>
          </w:p>
          <w:p w14:paraId="7D4CA373" w14:textId="77777777" w:rsidR="002C3333" w:rsidRDefault="002C3333">
            <w:pPr>
              <w:ind w:left="7"/>
            </w:pPr>
            <w:r>
              <w:rPr>
                <w:rFonts w:ascii="Times New Roman" w:eastAsia="Times New Roman" w:hAnsi="Times New Roman" w:cs="Times New Roman"/>
                <w:sz w:val="18"/>
                <w:u w:val="single" w:color="000000"/>
              </w:rPr>
              <w:t xml:space="preserve">Short-Term: </w:t>
            </w:r>
            <w:r>
              <w:rPr>
                <w:rFonts w:ascii="Times New Roman" w:eastAsia="Times New Roman" w:hAnsi="Times New Roman" w:cs="Times New Roman"/>
                <w:sz w:val="18"/>
              </w:rPr>
              <w:t xml:space="preserve">Rapid emotional swings; distortion of a person’s ability to recognize reality, think rationally, or communicate with others; raised blood pressure, heart rate, body temperature; dizziness and insomnia; loss of appetite; dry mouth; sweating; numbness; weakness; tremors; enlarged pupils. </w:t>
            </w:r>
          </w:p>
          <w:p w14:paraId="002776A8" w14:textId="77777777" w:rsidR="002C3333" w:rsidRDefault="002C3333">
            <w:pPr>
              <w:spacing w:line="242" w:lineRule="auto"/>
              <w:ind w:left="7"/>
            </w:pPr>
            <w:r>
              <w:rPr>
                <w:rFonts w:ascii="Times New Roman" w:eastAsia="Times New Roman" w:hAnsi="Times New Roman" w:cs="Times New Roman"/>
                <w:sz w:val="18"/>
              </w:rPr>
              <w:lastRenderedPageBreak/>
              <w:t xml:space="preserve">Long-Term: Frightening flashbacks (called Hallucinogen Persisting Perception Disorder [HPPD]); ongoing visual disturbances, disorganized thinking, paranoia, and mood swings. </w:t>
            </w:r>
          </w:p>
          <w:p w14:paraId="04FFB286" w14:textId="77777777" w:rsidR="002C3333" w:rsidRDefault="002C3333">
            <w:pPr>
              <w:ind w:left="7"/>
            </w:pPr>
            <w:r>
              <w:rPr>
                <w:rFonts w:ascii="Times New Roman" w:eastAsia="Times New Roman" w:hAnsi="Times New Roman" w:cs="Times New Roman"/>
                <w:sz w:val="18"/>
                <w:u w:val="single" w:color="000000"/>
              </w:rPr>
              <w:t xml:space="preserve">Other Health-Related Issues: </w:t>
            </w:r>
            <w:r>
              <w:rPr>
                <w:rFonts w:ascii="Times New Roman" w:eastAsia="Times New Roman" w:hAnsi="Times New Roman" w:cs="Times New Roman"/>
                <w:sz w:val="18"/>
              </w:rPr>
              <w:t xml:space="preserve">Unknown </w:t>
            </w:r>
          </w:p>
        </w:tc>
      </w:tr>
      <w:tr w:rsidR="002C3333" w14:paraId="7D55A08B" w14:textId="77777777" w:rsidTr="002C3333">
        <w:trPr>
          <w:trHeight w:val="428"/>
        </w:trPr>
        <w:tc>
          <w:tcPr>
            <w:tcW w:w="2240" w:type="dxa"/>
            <w:tcBorders>
              <w:top w:val="single" w:sz="4" w:space="0" w:color="000000"/>
              <w:left w:val="single" w:sz="4" w:space="0" w:color="000000"/>
              <w:bottom w:val="single" w:sz="4" w:space="0" w:color="000000"/>
              <w:right w:val="single" w:sz="4" w:space="0" w:color="000000"/>
            </w:tcBorders>
            <w:hideMark/>
          </w:tcPr>
          <w:p w14:paraId="5342FACF" w14:textId="77777777" w:rsidR="002C3333" w:rsidRDefault="002C3333">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4B9CC0EC" w14:textId="77777777" w:rsidR="002C3333" w:rsidRDefault="002C3333">
            <w:pPr>
              <w:ind w:left="6"/>
            </w:pPr>
            <w:r>
              <w:rPr>
                <w:rFonts w:ascii="Times New Roman" w:eastAsia="Times New Roman" w:hAnsi="Times New Roman" w:cs="Times New Roman"/>
                <w:sz w:val="18"/>
              </w:rPr>
              <w:t xml:space="preserve">Acid, Blotter, Blue Heaven, Cubes, Microdot, Yellow Sunshine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A202E3" w14:textId="77777777" w:rsidR="002C3333" w:rsidRDefault="002C3333">
            <w:pPr>
              <w:rPr>
                <w:rFonts w:ascii="Calibri" w:eastAsia="Calibri" w:hAnsi="Calibri" w:cs="Calibri"/>
                <w:color w:val="000000"/>
              </w:rPr>
            </w:pPr>
          </w:p>
        </w:tc>
      </w:tr>
      <w:tr w:rsidR="002C3333" w14:paraId="3D59931E"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58FCEBC8" w14:textId="77777777" w:rsidR="002C3333" w:rsidRDefault="002C3333">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79EE3816" w14:textId="77777777" w:rsidR="002C3333" w:rsidRDefault="002C3333">
            <w:pPr>
              <w:ind w:left="6"/>
            </w:pPr>
            <w:r>
              <w:rPr>
                <w:rFonts w:ascii="Times New Roman" w:eastAsia="Times New Roman" w:hAnsi="Times New Roman" w:cs="Times New Roman"/>
                <w:sz w:val="18"/>
              </w:rPr>
              <w:t xml:space="preserve">None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EA9B6E" w14:textId="77777777" w:rsidR="002C3333" w:rsidRDefault="002C3333">
            <w:pPr>
              <w:rPr>
                <w:rFonts w:ascii="Calibri" w:eastAsia="Calibri" w:hAnsi="Calibri" w:cs="Calibri"/>
                <w:color w:val="000000"/>
              </w:rPr>
            </w:pPr>
          </w:p>
        </w:tc>
      </w:tr>
      <w:tr w:rsidR="002C3333" w14:paraId="63ABC9FA" w14:textId="77777777" w:rsidTr="002C3333">
        <w:trPr>
          <w:trHeight w:val="629"/>
        </w:trPr>
        <w:tc>
          <w:tcPr>
            <w:tcW w:w="2240" w:type="dxa"/>
            <w:tcBorders>
              <w:top w:val="single" w:sz="4" w:space="0" w:color="000000"/>
              <w:left w:val="single" w:sz="4" w:space="0" w:color="000000"/>
              <w:bottom w:val="single" w:sz="4" w:space="0" w:color="000000"/>
              <w:right w:val="single" w:sz="4" w:space="0" w:color="000000"/>
            </w:tcBorders>
            <w:hideMark/>
          </w:tcPr>
          <w:p w14:paraId="306DBCAB" w14:textId="77777777" w:rsidR="002C3333" w:rsidRDefault="002C3333">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7CEBACA2" w14:textId="77777777" w:rsidR="002C3333" w:rsidRDefault="002C3333">
            <w:pPr>
              <w:ind w:left="6"/>
            </w:pPr>
            <w:r>
              <w:rPr>
                <w:rFonts w:ascii="Times New Roman" w:eastAsia="Times New Roman" w:hAnsi="Times New Roman" w:cs="Times New Roman"/>
                <w:sz w:val="18"/>
              </w:rPr>
              <w:t xml:space="preserve">Tablet; capsule; clear liquid; small, decorated squares of absorbent paper that liquid has been added to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4AABC0" w14:textId="77777777" w:rsidR="002C3333" w:rsidRDefault="002C3333">
            <w:pPr>
              <w:rPr>
                <w:rFonts w:ascii="Calibri" w:eastAsia="Calibri" w:hAnsi="Calibri" w:cs="Calibri"/>
                <w:color w:val="000000"/>
              </w:rPr>
            </w:pPr>
          </w:p>
        </w:tc>
      </w:tr>
      <w:tr w:rsidR="002C3333" w14:paraId="5265D944" w14:textId="77777777" w:rsidTr="002C3333">
        <w:trPr>
          <w:trHeight w:val="427"/>
        </w:trPr>
        <w:tc>
          <w:tcPr>
            <w:tcW w:w="2240" w:type="dxa"/>
            <w:tcBorders>
              <w:top w:val="single" w:sz="4" w:space="0" w:color="000000"/>
              <w:left w:val="single" w:sz="4" w:space="0" w:color="000000"/>
              <w:bottom w:val="single" w:sz="4" w:space="0" w:color="000000"/>
              <w:right w:val="single" w:sz="4" w:space="0" w:color="000000"/>
            </w:tcBorders>
            <w:hideMark/>
          </w:tcPr>
          <w:p w14:paraId="507064F2" w14:textId="77777777" w:rsidR="002C3333" w:rsidRDefault="002C3333">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02DD6BB0" w14:textId="77777777" w:rsidR="002C3333" w:rsidRDefault="002C3333">
            <w:pPr>
              <w:ind w:left="6"/>
            </w:pPr>
            <w:r>
              <w:rPr>
                <w:rFonts w:ascii="Times New Roman" w:eastAsia="Times New Roman" w:hAnsi="Times New Roman" w:cs="Times New Roman"/>
                <w:sz w:val="18"/>
              </w:rPr>
              <w:t xml:space="preserve">Swallowed, absorbed through mouth tissues (paper squares)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78F544" w14:textId="77777777" w:rsidR="002C3333" w:rsidRDefault="002C3333">
            <w:pPr>
              <w:rPr>
                <w:rFonts w:ascii="Calibri" w:eastAsia="Calibri" w:hAnsi="Calibri" w:cs="Calibri"/>
                <w:color w:val="000000"/>
              </w:rPr>
            </w:pPr>
          </w:p>
        </w:tc>
      </w:tr>
      <w:tr w:rsidR="002C3333" w14:paraId="4E546419" w14:textId="77777777" w:rsidTr="002C3333">
        <w:trPr>
          <w:trHeight w:val="581"/>
        </w:trPr>
        <w:tc>
          <w:tcPr>
            <w:tcW w:w="2240" w:type="dxa"/>
            <w:tcBorders>
              <w:top w:val="single" w:sz="4" w:space="0" w:color="000000"/>
              <w:left w:val="single" w:sz="4" w:space="0" w:color="000000"/>
              <w:bottom w:val="single" w:sz="4" w:space="0" w:color="000000"/>
              <w:right w:val="single" w:sz="4" w:space="0" w:color="000000"/>
            </w:tcBorders>
            <w:hideMark/>
          </w:tcPr>
          <w:p w14:paraId="284CF2F1" w14:textId="77777777" w:rsidR="002C3333" w:rsidRDefault="002C3333">
            <w:r>
              <w:rPr>
                <w:rFonts w:ascii="Times New Roman" w:eastAsia="Times New Roman" w:hAnsi="Times New Roman" w:cs="Times New Roman"/>
                <w:b/>
                <w:sz w:val="18"/>
              </w:rPr>
              <w:lastRenderedPageBreak/>
              <w:t>DEA Schedule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2B10CBAA" w14:textId="77777777" w:rsidR="002C3333" w:rsidRDefault="002C3333">
            <w:pPr>
              <w:ind w:left="6"/>
            </w:pPr>
            <w:r>
              <w:rPr>
                <w:rFonts w:ascii="Times New Roman" w:eastAsia="Times New Roman" w:hAnsi="Times New Roman" w:cs="Times New Roman"/>
                <w:sz w:val="18"/>
              </w:rPr>
              <w:t xml:space="preserve">Schedule I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61F081" w14:textId="77777777" w:rsidR="002C3333" w:rsidRDefault="002C3333">
            <w:pPr>
              <w:rPr>
                <w:rFonts w:ascii="Calibri" w:eastAsia="Calibri" w:hAnsi="Calibri" w:cs="Calibri"/>
                <w:color w:val="000000"/>
              </w:rPr>
            </w:pPr>
          </w:p>
        </w:tc>
      </w:tr>
    </w:tbl>
    <w:p w14:paraId="7DF44FAF" w14:textId="77777777" w:rsidR="0039247E" w:rsidRDefault="0039247E" w:rsidP="002C3333">
      <w:pPr>
        <w:spacing w:after="0"/>
        <w:ind w:left="5"/>
        <w:jc w:val="both"/>
        <w:rPr>
          <w:sz w:val="20"/>
        </w:rPr>
      </w:pPr>
    </w:p>
    <w:p w14:paraId="1690E7C1" w14:textId="7F050095" w:rsidR="002C3333" w:rsidRDefault="002C3333" w:rsidP="002C3333">
      <w:pPr>
        <w:spacing w:after="0"/>
        <w:ind w:left="5"/>
        <w:jc w:val="both"/>
        <w:rPr>
          <w:sz w:val="20"/>
        </w:rPr>
      </w:pPr>
      <w:r>
        <w:rPr>
          <w:sz w:val="20"/>
        </w:rPr>
        <w:tab/>
      </w:r>
    </w:p>
    <w:tbl>
      <w:tblPr>
        <w:tblStyle w:val="TableGrid0"/>
        <w:tblW w:w="10170" w:type="dxa"/>
        <w:tblInd w:w="-5" w:type="dxa"/>
        <w:tblCellMar>
          <w:top w:w="5" w:type="dxa"/>
          <w:left w:w="106" w:type="dxa"/>
          <w:right w:w="115" w:type="dxa"/>
        </w:tblCellMar>
        <w:tblLook w:val="04A0" w:firstRow="1" w:lastRow="0" w:firstColumn="1" w:lastColumn="0" w:noHBand="0" w:noVBand="1"/>
      </w:tblPr>
      <w:tblGrid>
        <w:gridCol w:w="2240"/>
        <w:gridCol w:w="3959"/>
        <w:gridCol w:w="3971"/>
      </w:tblGrid>
      <w:tr w:rsidR="002C3333" w14:paraId="5043A8DA" w14:textId="77777777" w:rsidTr="002C3333">
        <w:trPr>
          <w:trHeight w:val="218"/>
        </w:trPr>
        <w:tc>
          <w:tcPr>
            <w:tcW w:w="2240" w:type="dxa"/>
            <w:tcBorders>
              <w:top w:val="single" w:sz="4" w:space="0" w:color="000000"/>
              <w:left w:val="single" w:sz="4" w:space="0" w:color="000000"/>
              <w:bottom w:val="single" w:sz="4" w:space="0" w:color="000000"/>
              <w:right w:val="nil"/>
            </w:tcBorders>
            <w:shd w:val="clear" w:color="auto" w:fill="A6B4E4" w:themeFill="text2" w:themeFillTint="40"/>
            <w:hideMark/>
          </w:tcPr>
          <w:p w14:paraId="50179454" w14:textId="2397F686" w:rsidR="002C3333" w:rsidRDefault="00C049F4">
            <w:r>
              <w:rPr>
                <w:rFonts w:ascii="Times New Roman" w:eastAsia="Times New Roman" w:hAnsi="Times New Roman" w:cs="Times New Roman"/>
                <w:b/>
                <w:sz w:val="18"/>
              </w:rPr>
              <w:t>M</w:t>
            </w:r>
            <w:r w:rsidR="002C3333">
              <w:rPr>
                <w:rFonts w:ascii="Times New Roman" w:eastAsia="Times New Roman" w:hAnsi="Times New Roman" w:cs="Times New Roman"/>
                <w:b/>
                <w:sz w:val="18"/>
              </w:rPr>
              <w:t>arijuana (Cannabis)</w:t>
            </w:r>
            <w:r w:rsidR="002C3333">
              <w:rPr>
                <w:rFonts w:ascii="Times New Roman" w:eastAsia="Times New Roman" w:hAnsi="Times New Roman" w:cs="Times New Roman"/>
                <w:sz w:val="18"/>
              </w:rPr>
              <w:t xml:space="preserve"> </w:t>
            </w:r>
          </w:p>
        </w:tc>
        <w:tc>
          <w:tcPr>
            <w:tcW w:w="3959" w:type="dxa"/>
            <w:tcBorders>
              <w:top w:val="single" w:sz="4" w:space="0" w:color="000000"/>
              <w:left w:val="nil"/>
              <w:bottom w:val="single" w:sz="4" w:space="0" w:color="000000"/>
              <w:right w:val="single" w:sz="4" w:space="0" w:color="000000"/>
            </w:tcBorders>
            <w:shd w:val="clear" w:color="auto" w:fill="A6B4E4" w:themeFill="text2" w:themeFillTint="40"/>
          </w:tcPr>
          <w:p w14:paraId="33A243B7" w14:textId="77777777" w:rsidR="002C3333" w:rsidRDefault="002C3333"/>
        </w:tc>
        <w:tc>
          <w:tcPr>
            <w:tcW w:w="3971" w:type="dxa"/>
            <w:vMerge w:val="restart"/>
            <w:tcBorders>
              <w:top w:val="single" w:sz="4" w:space="0" w:color="000000"/>
              <w:left w:val="single" w:sz="4" w:space="0" w:color="000000"/>
              <w:bottom w:val="single" w:sz="4" w:space="0" w:color="000000"/>
              <w:right w:val="single" w:sz="4" w:space="0" w:color="000000"/>
            </w:tcBorders>
            <w:hideMark/>
          </w:tcPr>
          <w:p w14:paraId="730C9E37" w14:textId="77777777" w:rsidR="002C3333" w:rsidRDefault="002C3333">
            <w:pPr>
              <w:ind w:left="7"/>
            </w:pPr>
            <w:r>
              <w:rPr>
                <w:rFonts w:ascii="Times New Roman" w:eastAsia="Times New Roman" w:hAnsi="Times New Roman" w:cs="Times New Roman"/>
                <w:b/>
                <w:sz w:val="18"/>
              </w:rPr>
              <w:t>Possible Health Effects:</w:t>
            </w:r>
            <w:r>
              <w:rPr>
                <w:rFonts w:ascii="Times New Roman" w:eastAsia="Times New Roman" w:hAnsi="Times New Roman" w:cs="Times New Roman"/>
                <w:sz w:val="18"/>
              </w:rPr>
              <w:t xml:space="preserve"> </w:t>
            </w:r>
          </w:p>
          <w:p w14:paraId="461EA2E9" w14:textId="77777777" w:rsidR="002C3333" w:rsidRDefault="002C3333">
            <w:pPr>
              <w:ind w:left="7"/>
            </w:pPr>
            <w:r>
              <w:rPr>
                <w:rFonts w:ascii="Times New Roman" w:eastAsia="Times New Roman" w:hAnsi="Times New Roman" w:cs="Times New Roman"/>
                <w:sz w:val="18"/>
                <w:u w:val="single" w:color="000000"/>
              </w:rPr>
              <w:t xml:space="preserve">Short-Term: </w:t>
            </w:r>
            <w:r>
              <w:rPr>
                <w:rFonts w:ascii="Times New Roman" w:eastAsia="Times New Roman" w:hAnsi="Times New Roman" w:cs="Times New Roman"/>
                <w:sz w:val="18"/>
              </w:rPr>
              <w:t xml:space="preserve">Enhanced sensory perception and euphoria followed by drowsiness/relaxation; slowed reaction time; problems with balance and coordination; increased heart rate and appetite; problems with learning and memory; hallucinations; anxiety; panic attacks; psychosis. </w:t>
            </w:r>
            <w:r>
              <w:rPr>
                <w:rFonts w:ascii="Times New Roman" w:eastAsia="Times New Roman" w:hAnsi="Times New Roman" w:cs="Times New Roman"/>
                <w:sz w:val="18"/>
                <w:u w:val="single" w:color="000000"/>
              </w:rPr>
              <w:t xml:space="preserve">Long-Term: </w:t>
            </w:r>
            <w:r>
              <w:rPr>
                <w:rFonts w:ascii="Times New Roman" w:eastAsia="Times New Roman" w:hAnsi="Times New Roman" w:cs="Times New Roman"/>
                <w:sz w:val="18"/>
              </w:rPr>
              <w:t xml:space="preserve">Mental health problems, chronic cough, frequent respiratory infections. </w:t>
            </w:r>
          </w:p>
          <w:p w14:paraId="205C9319" w14:textId="77777777" w:rsidR="002C3333" w:rsidRDefault="002C3333">
            <w:pPr>
              <w:ind w:left="7"/>
            </w:pPr>
            <w:r>
              <w:rPr>
                <w:rFonts w:ascii="Times New Roman" w:eastAsia="Times New Roman" w:hAnsi="Times New Roman" w:cs="Times New Roman"/>
                <w:sz w:val="18"/>
                <w:u w:val="single" w:color="000000"/>
              </w:rPr>
              <w:t>Other Health-Related Issues</w:t>
            </w:r>
            <w:r>
              <w:rPr>
                <w:rFonts w:ascii="Times New Roman" w:eastAsia="Times New Roman" w:hAnsi="Times New Roman" w:cs="Times New Roman"/>
                <w:sz w:val="18"/>
              </w:rPr>
              <w:t xml:space="preserve">: Youth: possible loss of IQ points when repeated use begins in adolescence. Pregnancy: </w:t>
            </w:r>
          </w:p>
          <w:p w14:paraId="1A83E061" w14:textId="77777777" w:rsidR="002C3333" w:rsidRDefault="002C3333">
            <w:pPr>
              <w:ind w:left="7"/>
            </w:pPr>
            <w:r>
              <w:rPr>
                <w:rFonts w:ascii="Times New Roman" w:eastAsia="Times New Roman" w:hAnsi="Times New Roman" w:cs="Times New Roman"/>
                <w:sz w:val="18"/>
              </w:rPr>
              <w:t xml:space="preserve">babies born with problems with attention, memory, and problem solving. Irritability, trouble sleeping, decreased appetite, anxiety. </w:t>
            </w:r>
          </w:p>
        </w:tc>
      </w:tr>
      <w:tr w:rsidR="002C3333" w14:paraId="13F69F24" w14:textId="77777777" w:rsidTr="002C3333">
        <w:trPr>
          <w:trHeight w:val="836"/>
        </w:trPr>
        <w:tc>
          <w:tcPr>
            <w:tcW w:w="2240" w:type="dxa"/>
            <w:tcBorders>
              <w:top w:val="single" w:sz="4" w:space="0" w:color="000000"/>
              <w:left w:val="single" w:sz="4" w:space="0" w:color="000000"/>
              <w:bottom w:val="single" w:sz="4" w:space="0" w:color="000000"/>
              <w:right w:val="single" w:sz="4" w:space="0" w:color="000000"/>
            </w:tcBorders>
            <w:hideMark/>
          </w:tcPr>
          <w:p w14:paraId="4EB19533" w14:textId="77777777" w:rsidR="002C3333" w:rsidRDefault="002C3333">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0DB5B5D9" w14:textId="77777777" w:rsidR="002C3333" w:rsidRDefault="002C3333">
            <w:pPr>
              <w:ind w:left="6"/>
            </w:pPr>
            <w:r>
              <w:rPr>
                <w:rFonts w:ascii="Times New Roman" w:eastAsia="Times New Roman" w:hAnsi="Times New Roman" w:cs="Times New Roman"/>
                <w:sz w:val="18"/>
              </w:rPr>
              <w:t xml:space="preserve">Blunt, Bud, Dope, Ganja, Grass, Green, Herb, </w:t>
            </w:r>
          </w:p>
          <w:p w14:paraId="0F0E0407" w14:textId="77777777" w:rsidR="002C3333" w:rsidRDefault="002C3333">
            <w:pPr>
              <w:ind w:left="6"/>
            </w:pPr>
            <w:r>
              <w:rPr>
                <w:rFonts w:ascii="Times New Roman" w:eastAsia="Times New Roman" w:hAnsi="Times New Roman" w:cs="Times New Roman"/>
                <w:sz w:val="18"/>
              </w:rPr>
              <w:t xml:space="preserve">Joint, Mary Jane, Pot, Reefer, Sinsemilla, Skunk, </w:t>
            </w:r>
          </w:p>
          <w:p w14:paraId="27BD2AE1" w14:textId="77777777" w:rsidR="002C3333" w:rsidRDefault="002C3333">
            <w:pPr>
              <w:ind w:left="6"/>
            </w:pPr>
            <w:r>
              <w:rPr>
                <w:rFonts w:ascii="Times New Roman" w:eastAsia="Times New Roman" w:hAnsi="Times New Roman" w:cs="Times New Roman"/>
                <w:sz w:val="18"/>
              </w:rPr>
              <w:t xml:space="preserve">Smoke, Trees, Weed; Hashish: Boom, Gangster, Hash, Hemp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22C545" w14:textId="77777777" w:rsidR="002C3333" w:rsidRDefault="002C3333">
            <w:pPr>
              <w:rPr>
                <w:rFonts w:ascii="Calibri" w:eastAsia="Calibri" w:hAnsi="Calibri" w:cs="Calibri"/>
                <w:color w:val="000000"/>
              </w:rPr>
            </w:pPr>
          </w:p>
        </w:tc>
      </w:tr>
      <w:tr w:rsidR="002C3333" w14:paraId="224979C3" w14:textId="77777777" w:rsidTr="002C3333">
        <w:trPr>
          <w:trHeight w:val="427"/>
        </w:trPr>
        <w:tc>
          <w:tcPr>
            <w:tcW w:w="2240" w:type="dxa"/>
            <w:tcBorders>
              <w:top w:val="single" w:sz="4" w:space="0" w:color="000000"/>
              <w:left w:val="single" w:sz="4" w:space="0" w:color="000000"/>
              <w:bottom w:val="single" w:sz="4" w:space="0" w:color="000000"/>
              <w:right w:val="single" w:sz="4" w:space="0" w:color="000000"/>
            </w:tcBorders>
            <w:hideMark/>
          </w:tcPr>
          <w:p w14:paraId="7743EEF5" w14:textId="77777777" w:rsidR="002C3333" w:rsidRDefault="002C3333">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043326C4" w14:textId="77777777" w:rsidR="002C3333" w:rsidRDefault="002C3333">
            <w:pPr>
              <w:ind w:left="6"/>
            </w:pPr>
            <w:r>
              <w:rPr>
                <w:rFonts w:ascii="Times New Roman" w:eastAsia="Times New Roman" w:hAnsi="Times New Roman" w:cs="Times New Roman"/>
                <w:sz w:val="18"/>
              </w:rPr>
              <w:t xml:space="preserve">Various brand names in states where the sale of marijuana is legal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62E720" w14:textId="77777777" w:rsidR="002C3333" w:rsidRDefault="002C3333">
            <w:pPr>
              <w:rPr>
                <w:rFonts w:ascii="Calibri" w:eastAsia="Calibri" w:hAnsi="Calibri" w:cs="Calibri"/>
                <w:color w:val="000000"/>
              </w:rPr>
            </w:pPr>
          </w:p>
        </w:tc>
      </w:tr>
      <w:tr w:rsidR="002C3333" w14:paraId="5189F7C9" w14:textId="77777777" w:rsidTr="002C3333">
        <w:trPr>
          <w:trHeight w:val="629"/>
        </w:trPr>
        <w:tc>
          <w:tcPr>
            <w:tcW w:w="2240" w:type="dxa"/>
            <w:tcBorders>
              <w:top w:val="single" w:sz="4" w:space="0" w:color="000000"/>
              <w:left w:val="single" w:sz="4" w:space="0" w:color="000000"/>
              <w:bottom w:val="single" w:sz="4" w:space="0" w:color="000000"/>
              <w:right w:val="single" w:sz="4" w:space="0" w:color="000000"/>
            </w:tcBorders>
            <w:hideMark/>
          </w:tcPr>
          <w:p w14:paraId="77D0FE16" w14:textId="77777777" w:rsidR="002C3333" w:rsidRDefault="002C3333">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27B08070" w14:textId="77777777" w:rsidR="002C3333" w:rsidRDefault="002C3333">
            <w:pPr>
              <w:ind w:left="6"/>
            </w:pPr>
            <w:r>
              <w:rPr>
                <w:rFonts w:ascii="Times New Roman" w:eastAsia="Times New Roman" w:hAnsi="Times New Roman" w:cs="Times New Roman"/>
                <w:sz w:val="18"/>
              </w:rPr>
              <w:t xml:space="preserve">Greenish-gray mixture of dried, shredded leaves, stems, seeds, and/or flowers; resin (hashish) or sticky, black liquid (hash oil)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3C18A3" w14:textId="77777777" w:rsidR="002C3333" w:rsidRDefault="002C3333">
            <w:pPr>
              <w:rPr>
                <w:rFonts w:ascii="Calibri" w:eastAsia="Calibri" w:hAnsi="Calibri" w:cs="Calibri"/>
                <w:color w:val="000000"/>
              </w:rPr>
            </w:pPr>
          </w:p>
        </w:tc>
      </w:tr>
      <w:tr w:rsidR="002C3333" w14:paraId="6D6A9055"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34F3BA4E" w14:textId="77777777" w:rsidR="002C3333" w:rsidRDefault="002C3333">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053F057A" w14:textId="77777777" w:rsidR="002C3333" w:rsidRDefault="002C3333">
            <w:pPr>
              <w:ind w:left="6"/>
            </w:pPr>
            <w:r>
              <w:rPr>
                <w:rFonts w:ascii="Times New Roman" w:eastAsia="Times New Roman" w:hAnsi="Times New Roman" w:cs="Times New Roman"/>
                <w:sz w:val="18"/>
              </w:rPr>
              <w:t xml:space="preserve">Smoked, eaten (mixed in food or brewed as tea)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C1C334" w14:textId="77777777" w:rsidR="002C3333" w:rsidRDefault="002C3333">
            <w:pPr>
              <w:rPr>
                <w:rFonts w:ascii="Calibri" w:eastAsia="Calibri" w:hAnsi="Calibri" w:cs="Calibri"/>
                <w:color w:val="000000"/>
              </w:rPr>
            </w:pPr>
          </w:p>
        </w:tc>
      </w:tr>
      <w:tr w:rsidR="002C3333" w14:paraId="35F953BB" w14:textId="77777777" w:rsidTr="002C3333">
        <w:trPr>
          <w:trHeight w:val="619"/>
        </w:trPr>
        <w:tc>
          <w:tcPr>
            <w:tcW w:w="2240" w:type="dxa"/>
            <w:tcBorders>
              <w:top w:val="single" w:sz="4" w:space="0" w:color="000000"/>
              <w:left w:val="single" w:sz="4" w:space="0" w:color="000000"/>
              <w:bottom w:val="single" w:sz="4" w:space="0" w:color="000000"/>
              <w:right w:val="single" w:sz="4" w:space="0" w:color="000000"/>
            </w:tcBorders>
            <w:hideMark/>
          </w:tcPr>
          <w:p w14:paraId="2C30030B" w14:textId="77777777" w:rsidR="002C3333" w:rsidRDefault="002C3333">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48F181B5" w14:textId="77777777" w:rsidR="002C3333" w:rsidRDefault="002C3333">
            <w:pPr>
              <w:ind w:left="6"/>
            </w:pPr>
            <w:r>
              <w:rPr>
                <w:rFonts w:ascii="Times New Roman" w:eastAsia="Times New Roman" w:hAnsi="Times New Roman" w:cs="Times New Roman"/>
                <w:sz w:val="18"/>
              </w:rPr>
              <w:t xml:space="preserve">Schedule I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09C5E2" w14:textId="77777777" w:rsidR="002C3333" w:rsidRDefault="002C3333">
            <w:pPr>
              <w:rPr>
                <w:rFonts w:ascii="Calibri" w:eastAsia="Calibri" w:hAnsi="Calibri" w:cs="Calibri"/>
                <w:color w:val="000000"/>
              </w:rPr>
            </w:pPr>
          </w:p>
        </w:tc>
      </w:tr>
    </w:tbl>
    <w:p w14:paraId="390E04AD" w14:textId="77777777" w:rsidR="002C3333" w:rsidRDefault="002C3333" w:rsidP="002C3333">
      <w:pPr>
        <w:spacing w:after="0"/>
        <w:ind w:left="5"/>
        <w:jc w:val="both"/>
        <w:rPr>
          <w:rFonts w:ascii="Calibri" w:eastAsia="Calibri" w:hAnsi="Calibri" w:cs="Calibri"/>
          <w:color w:val="000000"/>
          <w:kern w:val="2"/>
          <w:sz w:val="22"/>
          <w14:ligatures w14:val="standardContextual"/>
        </w:rPr>
      </w:pPr>
      <w:r>
        <w:tab/>
      </w:r>
    </w:p>
    <w:tbl>
      <w:tblPr>
        <w:tblStyle w:val="TableGrid0"/>
        <w:tblW w:w="10170" w:type="dxa"/>
        <w:tblInd w:w="-5" w:type="dxa"/>
        <w:tblCellMar>
          <w:top w:w="5" w:type="dxa"/>
          <w:left w:w="106" w:type="dxa"/>
          <w:right w:w="115" w:type="dxa"/>
        </w:tblCellMar>
        <w:tblLook w:val="04A0" w:firstRow="1" w:lastRow="0" w:firstColumn="1" w:lastColumn="0" w:noHBand="0" w:noVBand="1"/>
      </w:tblPr>
      <w:tblGrid>
        <w:gridCol w:w="2240"/>
        <w:gridCol w:w="3959"/>
        <w:gridCol w:w="3971"/>
      </w:tblGrid>
      <w:tr w:rsidR="002C3333" w14:paraId="3F7CAB9E" w14:textId="77777777" w:rsidTr="002C3333">
        <w:trPr>
          <w:trHeight w:val="214"/>
        </w:trPr>
        <w:tc>
          <w:tcPr>
            <w:tcW w:w="2240" w:type="dxa"/>
            <w:tcBorders>
              <w:top w:val="single" w:sz="4" w:space="0" w:color="000000"/>
              <w:left w:val="single" w:sz="4" w:space="0" w:color="000000"/>
              <w:bottom w:val="single" w:sz="4" w:space="0" w:color="000000"/>
              <w:right w:val="nil"/>
            </w:tcBorders>
            <w:shd w:val="clear" w:color="auto" w:fill="A6B4E4" w:themeFill="text2" w:themeFillTint="40"/>
            <w:hideMark/>
          </w:tcPr>
          <w:p w14:paraId="69D62F38" w14:textId="77777777" w:rsidR="002C3333" w:rsidRDefault="002C3333">
            <w:r>
              <w:rPr>
                <w:rFonts w:ascii="Times New Roman" w:eastAsia="Times New Roman" w:hAnsi="Times New Roman" w:cs="Times New Roman"/>
                <w:b/>
                <w:sz w:val="18"/>
              </w:rPr>
              <w:t>MDMA (Ecstasy/Molly)</w:t>
            </w:r>
            <w:r>
              <w:rPr>
                <w:rFonts w:ascii="Times New Roman" w:eastAsia="Times New Roman" w:hAnsi="Times New Roman" w:cs="Times New Roman"/>
                <w:sz w:val="18"/>
              </w:rPr>
              <w:t xml:space="preserve"> </w:t>
            </w:r>
          </w:p>
        </w:tc>
        <w:tc>
          <w:tcPr>
            <w:tcW w:w="3959" w:type="dxa"/>
            <w:tcBorders>
              <w:top w:val="single" w:sz="4" w:space="0" w:color="000000"/>
              <w:left w:val="nil"/>
              <w:bottom w:val="single" w:sz="4" w:space="0" w:color="000000"/>
              <w:right w:val="single" w:sz="4" w:space="0" w:color="000000"/>
            </w:tcBorders>
            <w:shd w:val="clear" w:color="auto" w:fill="A6B4E4" w:themeFill="text2" w:themeFillTint="40"/>
          </w:tcPr>
          <w:p w14:paraId="58DE7765" w14:textId="77777777" w:rsidR="002C3333" w:rsidRDefault="002C3333"/>
        </w:tc>
        <w:tc>
          <w:tcPr>
            <w:tcW w:w="3971" w:type="dxa"/>
            <w:vMerge w:val="restart"/>
            <w:tcBorders>
              <w:top w:val="single" w:sz="4" w:space="0" w:color="000000"/>
              <w:left w:val="single" w:sz="4" w:space="0" w:color="000000"/>
              <w:bottom w:val="single" w:sz="4" w:space="0" w:color="000000"/>
              <w:right w:val="single" w:sz="4" w:space="0" w:color="000000"/>
            </w:tcBorders>
            <w:hideMark/>
          </w:tcPr>
          <w:p w14:paraId="699747CA" w14:textId="77777777" w:rsidR="002C3333" w:rsidRDefault="002C3333">
            <w:pPr>
              <w:ind w:left="8"/>
            </w:pPr>
            <w:r>
              <w:rPr>
                <w:rFonts w:ascii="Times New Roman" w:eastAsia="Times New Roman" w:hAnsi="Times New Roman" w:cs="Times New Roman"/>
                <w:b/>
                <w:sz w:val="18"/>
              </w:rPr>
              <w:t>Possible Health Effects:</w:t>
            </w:r>
            <w:r>
              <w:rPr>
                <w:rFonts w:ascii="Times New Roman" w:eastAsia="Times New Roman" w:hAnsi="Times New Roman" w:cs="Times New Roman"/>
                <w:sz w:val="18"/>
              </w:rPr>
              <w:t xml:space="preserve"> </w:t>
            </w:r>
          </w:p>
          <w:p w14:paraId="6BA9F203" w14:textId="77777777" w:rsidR="002C3333" w:rsidRDefault="002C3333">
            <w:pPr>
              <w:spacing w:after="5"/>
              <w:ind w:left="7"/>
            </w:pPr>
            <w:r>
              <w:rPr>
                <w:rFonts w:ascii="Times New Roman" w:eastAsia="Times New Roman" w:hAnsi="Times New Roman" w:cs="Times New Roman"/>
                <w:sz w:val="18"/>
                <w:u w:val="single" w:color="000000"/>
              </w:rPr>
              <w:t xml:space="preserve">Short-Term: </w:t>
            </w:r>
            <w:r>
              <w:rPr>
                <w:rFonts w:ascii="Times New Roman" w:eastAsia="Times New Roman" w:hAnsi="Times New Roman" w:cs="Times New Roman"/>
                <w:sz w:val="18"/>
              </w:rPr>
              <w:t xml:space="preserve">Lowered inhibition; enhanced sensory perception; confusion; depression; sleep problems; anxiety; increased heart rate and blood pressure; muscle tension; teeth clenching; nausea; blurred vision; faintness; chills or sweating; sharp rise in body temperature leading to liver, kidney, or heart failure and death. </w:t>
            </w:r>
          </w:p>
          <w:p w14:paraId="71B650ED" w14:textId="77777777" w:rsidR="002C3333" w:rsidRDefault="002C3333">
            <w:pPr>
              <w:spacing w:after="6" w:line="237" w:lineRule="auto"/>
              <w:ind w:left="7"/>
            </w:pPr>
            <w:r>
              <w:rPr>
                <w:rFonts w:ascii="Times New Roman" w:eastAsia="Times New Roman" w:hAnsi="Times New Roman" w:cs="Times New Roman"/>
                <w:sz w:val="18"/>
                <w:u w:val="single" w:color="000000"/>
              </w:rPr>
              <w:t xml:space="preserve">Long-Term: </w:t>
            </w:r>
            <w:r>
              <w:rPr>
                <w:rFonts w:ascii="Times New Roman" w:eastAsia="Times New Roman" w:hAnsi="Times New Roman" w:cs="Times New Roman"/>
                <w:sz w:val="18"/>
              </w:rPr>
              <w:t xml:space="preserve">Long-lasting confusion, depression, problems with attention, memory, and sleep; increased anxiety, impulsiveness, aggression; loss of appetite; less interest in sex. </w:t>
            </w:r>
          </w:p>
          <w:p w14:paraId="7A4B8D67" w14:textId="77777777" w:rsidR="002C3333" w:rsidRDefault="002C3333">
            <w:pPr>
              <w:ind w:left="7"/>
            </w:pPr>
            <w:r>
              <w:rPr>
                <w:rFonts w:ascii="Times New Roman" w:eastAsia="Times New Roman" w:hAnsi="Times New Roman" w:cs="Times New Roman"/>
                <w:sz w:val="18"/>
                <w:u w:val="single" w:color="000000"/>
              </w:rPr>
              <w:t>Other Health-Related Issues</w:t>
            </w:r>
            <w:r>
              <w:rPr>
                <w:rFonts w:ascii="Times New Roman" w:eastAsia="Times New Roman" w:hAnsi="Times New Roman" w:cs="Times New Roman"/>
                <w:sz w:val="18"/>
              </w:rPr>
              <w:t xml:space="preserve">: Unknown. May increase risk of cell and organ damage. Fatigue, loss of appetite, depression, trouble concentrating. </w:t>
            </w:r>
          </w:p>
        </w:tc>
      </w:tr>
      <w:tr w:rsidR="002C3333" w14:paraId="74BFE877" w14:textId="77777777" w:rsidTr="002C3333">
        <w:trPr>
          <w:trHeight w:val="217"/>
        </w:trPr>
        <w:tc>
          <w:tcPr>
            <w:tcW w:w="2240" w:type="dxa"/>
            <w:tcBorders>
              <w:top w:val="single" w:sz="4" w:space="0" w:color="000000"/>
              <w:left w:val="single" w:sz="4" w:space="0" w:color="000000"/>
              <w:bottom w:val="single" w:sz="4" w:space="0" w:color="000000"/>
              <w:right w:val="single" w:sz="4" w:space="0" w:color="000000"/>
            </w:tcBorders>
            <w:hideMark/>
          </w:tcPr>
          <w:p w14:paraId="2CD0A856" w14:textId="77777777" w:rsidR="002C3333" w:rsidRDefault="002C3333">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5BD6C036" w14:textId="77777777" w:rsidR="002C3333" w:rsidRDefault="002C3333">
            <w:pPr>
              <w:ind w:left="6"/>
            </w:pPr>
            <w:r>
              <w:rPr>
                <w:rFonts w:ascii="Times New Roman" w:eastAsia="Times New Roman" w:hAnsi="Times New Roman" w:cs="Times New Roman"/>
                <w:sz w:val="18"/>
              </w:rPr>
              <w:t xml:space="preserve">Adam, Clarity, Eve, Lover's Speed, Peace, Uppers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98B0B5" w14:textId="77777777" w:rsidR="002C3333" w:rsidRDefault="002C3333">
            <w:pPr>
              <w:rPr>
                <w:rFonts w:ascii="Calibri" w:eastAsia="Calibri" w:hAnsi="Calibri" w:cs="Calibri"/>
                <w:color w:val="000000"/>
              </w:rPr>
            </w:pPr>
          </w:p>
        </w:tc>
      </w:tr>
      <w:tr w:rsidR="002C3333" w14:paraId="71D802AF"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01461FD6" w14:textId="77777777" w:rsidR="002C3333" w:rsidRDefault="002C3333">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7A3FF8EE" w14:textId="77777777" w:rsidR="002C3333" w:rsidRDefault="002C3333">
            <w:pPr>
              <w:ind w:left="6"/>
            </w:pPr>
            <w:r>
              <w:rPr>
                <w:rFonts w:ascii="Times New Roman" w:eastAsia="Times New Roman" w:hAnsi="Times New Roman" w:cs="Times New Roman"/>
                <w:sz w:val="18"/>
              </w:rPr>
              <w:t xml:space="preserve">None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3DB867" w14:textId="77777777" w:rsidR="002C3333" w:rsidRDefault="002C3333">
            <w:pPr>
              <w:rPr>
                <w:rFonts w:ascii="Calibri" w:eastAsia="Calibri" w:hAnsi="Calibri" w:cs="Calibri"/>
                <w:color w:val="000000"/>
              </w:rPr>
            </w:pPr>
          </w:p>
        </w:tc>
      </w:tr>
      <w:tr w:rsidR="002C3333" w14:paraId="1CC92B5B" w14:textId="77777777" w:rsidTr="002C3333">
        <w:trPr>
          <w:trHeight w:val="427"/>
        </w:trPr>
        <w:tc>
          <w:tcPr>
            <w:tcW w:w="2240" w:type="dxa"/>
            <w:tcBorders>
              <w:top w:val="single" w:sz="4" w:space="0" w:color="000000"/>
              <w:left w:val="single" w:sz="4" w:space="0" w:color="000000"/>
              <w:bottom w:val="single" w:sz="4" w:space="0" w:color="000000"/>
              <w:right w:val="single" w:sz="4" w:space="0" w:color="000000"/>
            </w:tcBorders>
            <w:hideMark/>
          </w:tcPr>
          <w:p w14:paraId="06EBE76B" w14:textId="77777777" w:rsidR="002C3333" w:rsidRDefault="002C3333">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2319B762" w14:textId="77777777" w:rsidR="002C3333" w:rsidRDefault="002C3333">
            <w:pPr>
              <w:ind w:left="6"/>
            </w:pPr>
            <w:r>
              <w:rPr>
                <w:rFonts w:ascii="Times New Roman" w:eastAsia="Times New Roman" w:hAnsi="Times New Roman" w:cs="Times New Roman"/>
                <w:sz w:val="18"/>
              </w:rPr>
              <w:t xml:space="preserve">Colorful tablets with imprinted logos, capsules, powder, liquid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9CF754" w14:textId="77777777" w:rsidR="002C3333" w:rsidRDefault="002C3333">
            <w:pPr>
              <w:rPr>
                <w:rFonts w:ascii="Calibri" w:eastAsia="Calibri" w:hAnsi="Calibri" w:cs="Calibri"/>
                <w:color w:val="000000"/>
              </w:rPr>
            </w:pPr>
          </w:p>
        </w:tc>
      </w:tr>
      <w:tr w:rsidR="002C3333" w14:paraId="31E530DD"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6C9113BA" w14:textId="77777777" w:rsidR="002C3333" w:rsidRDefault="002C3333">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14AEC653" w14:textId="77777777" w:rsidR="002C3333" w:rsidRDefault="002C3333">
            <w:pPr>
              <w:ind w:left="6"/>
            </w:pPr>
            <w:r>
              <w:rPr>
                <w:rFonts w:ascii="Times New Roman" w:eastAsia="Times New Roman" w:hAnsi="Times New Roman" w:cs="Times New Roman"/>
                <w:sz w:val="18"/>
              </w:rPr>
              <w:t xml:space="preserve">Swallowed, snorted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FB2C75" w14:textId="77777777" w:rsidR="002C3333" w:rsidRDefault="002C3333">
            <w:pPr>
              <w:rPr>
                <w:rFonts w:ascii="Calibri" w:eastAsia="Calibri" w:hAnsi="Calibri" w:cs="Calibri"/>
                <w:color w:val="000000"/>
              </w:rPr>
            </w:pPr>
          </w:p>
        </w:tc>
      </w:tr>
      <w:tr w:rsidR="002C3333" w14:paraId="252D13A3" w14:textId="77777777" w:rsidTr="002C3333">
        <w:trPr>
          <w:trHeight w:val="1618"/>
        </w:trPr>
        <w:tc>
          <w:tcPr>
            <w:tcW w:w="2240" w:type="dxa"/>
            <w:tcBorders>
              <w:top w:val="single" w:sz="4" w:space="0" w:color="000000"/>
              <w:left w:val="single" w:sz="4" w:space="0" w:color="000000"/>
              <w:bottom w:val="single" w:sz="4" w:space="0" w:color="000000"/>
              <w:right w:val="single" w:sz="4" w:space="0" w:color="000000"/>
            </w:tcBorders>
            <w:hideMark/>
          </w:tcPr>
          <w:p w14:paraId="40905624" w14:textId="77777777" w:rsidR="002C3333" w:rsidRDefault="002C3333">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7C458455" w14:textId="77777777" w:rsidR="002C3333" w:rsidRDefault="002C3333">
            <w:pPr>
              <w:ind w:left="6"/>
            </w:pPr>
            <w:r>
              <w:rPr>
                <w:rFonts w:ascii="Times New Roman" w:eastAsia="Times New Roman" w:hAnsi="Times New Roman" w:cs="Times New Roman"/>
                <w:sz w:val="18"/>
              </w:rPr>
              <w:t xml:space="preserve">Schedule I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F2A83E" w14:textId="77777777" w:rsidR="002C3333" w:rsidRDefault="002C3333">
            <w:pPr>
              <w:rPr>
                <w:rFonts w:ascii="Calibri" w:eastAsia="Calibri" w:hAnsi="Calibri" w:cs="Calibri"/>
                <w:color w:val="000000"/>
              </w:rPr>
            </w:pPr>
          </w:p>
        </w:tc>
      </w:tr>
    </w:tbl>
    <w:p w14:paraId="4D572822" w14:textId="77777777" w:rsidR="002C3333" w:rsidRDefault="002C3333" w:rsidP="002C3333">
      <w:pPr>
        <w:spacing w:after="0"/>
        <w:ind w:left="5"/>
        <w:jc w:val="both"/>
        <w:rPr>
          <w:rFonts w:ascii="Calibri" w:eastAsia="Calibri" w:hAnsi="Calibri" w:cs="Calibri"/>
          <w:color w:val="000000"/>
          <w:kern w:val="2"/>
          <w:sz w:val="22"/>
          <w14:ligatures w14:val="standardContextual"/>
        </w:rPr>
      </w:pPr>
      <w:r>
        <w:rPr>
          <w:sz w:val="18"/>
        </w:rPr>
        <w:tab/>
      </w:r>
    </w:p>
    <w:tbl>
      <w:tblPr>
        <w:tblStyle w:val="TableGrid0"/>
        <w:tblW w:w="10170" w:type="dxa"/>
        <w:tblInd w:w="-5" w:type="dxa"/>
        <w:tblCellMar>
          <w:top w:w="5" w:type="dxa"/>
          <w:left w:w="106" w:type="dxa"/>
          <w:right w:w="115" w:type="dxa"/>
        </w:tblCellMar>
        <w:tblLook w:val="04A0" w:firstRow="1" w:lastRow="0" w:firstColumn="1" w:lastColumn="0" w:noHBand="0" w:noVBand="1"/>
      </w:tblPr>
      <w:tblGrid>
        <w:gridCol w:w="2240"/>
        <w:gridCol w:w="3959"/>
        <w:gridCol w:w="3971"/>
      </w:tblGrid>
      <w:tr w:rsidR="002C3333" w14:paraId="3476E9A2" w14:textId="77777777" w:rsidTr="002C3333">
        <w:trPr>
          <w:trHeight w:val="516"/>
        </w:trPr>
        <w:tc>
          <w:tcPr>
            <w:tcW w:w="2240" w:type="dxa"/>
            <w:tcBorders>
              <w:top w:val="single" w:sz="4" w:space="0" w:color="000000"/>
              <w:left w:val="single" w:sz="4" w:space="0" w:color="000000"/>
              <w:bottom w:val="single" w:sz="4" w:space="0" w:color="000000"/>
              <w:right w:val="nil"/>
            </w:tcBorders>
            <w:shd w:val="clear" w:color="auto" w:fill="A6B4E4" w:themeFill="text2" w:themeFillTint="40"/>
            <w:hideMark/>
          </w:tcPr>
          <w:p w14:paraId="23AB8AFA" w14:textId="77777777" w:rsidR="002C3333" w:rsidRDefault="002C3333">
            <w:r>
              <w:rPr>
                <w:rFonts w:ascii="Times New Roman" w:eastAsia="Times New Roman" w:hAnsi="Times New Roman" w:cs="Times New Roman"/>
                <w:b/>
                <w:sz w:val="18"/>
              </w:rPr>
              <w:t>Mescaline (Peyote)</w:t>
            </w:r>
            <w:r>
              <w:rPr>
                <w:rFonts w:ascii="Times New Roman" w:eastAsia="Times New Roman" w:hAnsi="Times New Roman" w:cs="Times New Roman"/>
                <w:sz w:val="18"/>
              </w:rPr>
              <w:t xml:space="preserve"> </w:t>
            </w:r>
          </w:p>
        </w:tc>
        <w:tc>
          <w:tcPr>
            <w:tcW w:w="3959" w:type="dxa"/>
            <w:tcBorders>
              <w:top w:val="single" w:sz="4" w:space="0" w:color="000000"/>
              <w:left w:val="nil"/>
              <w:bottom w:val="single" w:sz="4" w:space="0" w:color="000000"/>
              <w:right w:val="single" w:sz="4" w:space="0" w:color="000000"/>
            </w:tcBorders>
            <w:shd w:val="clear" w:color="auto" w:fill="A6B4E4" w:themeFill="text2" w:themeFillTint="40"/>
          </w:tcPr>
          <w:p w14:paraId="06FF5E82" w14:textId="77777777" w:rsidR="002C3333" w:rsidRDefault="002C3333"/>
        </w:tc>
        <w:tc>
          <w:tcPr>
            <w:tcW w:w="3971" w:type="dxa"/>
            <w:tcBorders>
              <w:top w:val="single" w:sz="4" w:space="0" w:color="000000"/>
              <w:left w:val="single" w:sz="4" w:space="0" w:color="000000"/>
              <w:bottom w:val="single" w:sz="4" w:space="0" w:color="000000"/>
              <w:right w:val="single" w:sz="4" w:space="0" w:color="000000"/>
            </w:tcBorders>
            <w:hideMark/>
          </w:tcPr>
          <w:p w14:paraId="0DD951DC" w14:textId="77777777" w:rsidR="002C3333" w:rsidRDefault="002C3333">
            <w:pPr>
              <w:ind w:left="7"/>
            </w:pPr>
            <w:r>
              <w:rPr>
                <w:rFonts w:ascii="Times New Roman" w:eastAsia="Times New Roman" w:hAnsi="Times New Roman" w:cs="Times New Roman"/>
                <w:b/>
                <w:sz w:val="18"/>
              </w:rPr>
              <w:t>Possible Health Effects:</w:t>
            </w:r>
            <w:r>
              <w:rPr>
                <w:rFonts w:ascii="Times New Roman" w:eastAsia="Times New Roman" w:hAnsi="Times New Roman" w:cs="Times New Roman"/>
                <w:sz w:val="18"/>
              </w:rPr>
              <w:t xml:space="preserve"> </w:t>
            </w:r>
          </w:p>
          <w:p w14:paraId="652613FA" w14:textId="77777777" w:rsidR="002C3333" w:rsidRDefault="002C3333">
            <w:pPr>
              <w:ind w:left="7"/>
            </w:pPr>
            <w:r>
              <w:rPr>
                <w:rFonts w:ascii="Times New Roman" w:eastAsia="Times New Roman" w:hAnsi="Times New Roman" w:cs="Times New Roman"/>
                <w:sz w:val="18"/>
                <w:u w:val="single" w:color="000000"/>
              </w:rPr>
              <w:t xml:space="preserve">Short-Term: </w:t>
            </w:r>
            <w:r>
              <w:rPr>
                <w:rFonts w:ascii="Times New Roman" w:eastAsia="Times New Roman" w:hAnsi="Times New Roman" w:cs="Times New Roman"/>
                <w:sz w:val="18"/>
              </w:rPr>
              <w:t xml:space="preserve">Enhanced perception and feeling; hallucinations; euphoria; anxiety; increased body temperature, heart rate, blood pressure; sweating; problems with movement </w:t>
            </w:r>
          </w:p>
          <w:p w14:paraId="00D93A5C" w14:textId="77777777" w:rsidR="002C3333" w:rsidRDefault="002C3333">
            <w:pPr>
              <w:ind w:left="7"/>
            </w:pPr>
            <w:r>
              <w:rPr>
                <w:rFonts w:ascii="Times New Roman" w:eastAsia="Times New Roman" w:hAnsi="Times New Roman" w:cs="Times New Roman"/>
                <w:sz w:val="18"/>
              </w:rPr>
              <w:t xml:space="preserve">Long-Term: Unknown. </w:t>
            </w:r>
          </w:p>
          <w:p w14:paraId="28A09B6A" w14:textId="77777777" w:rsidR="002C3333" w:rsidRDefault="002C3333">
            <w:pPr>
              <w:ind w:left="7"/>
            </w:pPr>
            <w:r>
              <w:rPr>
                <w:rFonts w:ascii="Times New Roman" w:eastAsia="Times New Roman" w:hAnsi="Times New Roman" w:cs="Times New Roman"/>
                <w:sz w:val="18"/>
                <w:u w:val="single" w:color="000000"/>
              </w:rPr>
              <w:t xml:space="preserve">Other Health-Related Issues: </w:t>
            </w:r>
            <w:r>
              <w:rPr>
                <w:rFonts w:ascii="Times New Roman" w:eastAsia="Times New Roman" w:hAnsi="Times New Roman" w:cs="Times New Roman"/>
                <w:sz w:val="18"/>
              </w:rPr>
              <w:t xml:space="preserve">Unknown. </w:t>
            </w:r>
          </w:p>
        </w:tc>
      </w:tr>
      <w:tr w:rsidR="002C3333" w14:paraId="5E3E545E" w14:textId="77777777" w:rsidTr="002C3333">
        <w:trPr>
          <w:trHeight w:val="217"/>
        </w:trPr>
        <w:tc>
          <w:tcPr>
            <w:tcW w:w="2240" w:type="dxa"/>
            <w:tcBorders>
              <w:top w:val="single" w:sz="4" w:space="0" w:color="000000"/>
              <w:left w:val="single" w:sz="4" w:space="0" w:color="000000"/>
              <w:bottom w:val="single" w:sz="4" w:space="0" w:color="000000"/>
              <w:right w:val="single" w:sz="4" w:space="0" w:color="000000"/>
            </w:tcBorders>
            <w:hideMark/>
          </w:tcPr>
          <w:p w14:paraId="50EDACB4" w14:textId="77777777" w:rsidR="002C3333" w:rsidRDefault="002C3333">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4907441A" w14:textId="77777777" w:rsidR="002C3333" w:rsidRDefault="002C3333">
            <w:pPr>
              <w:ind w:left="6"/>
            </w:pPr>
            <w:r>
              <w:rPr>
                <w:rFonts w:ascii="Times New Roman" w:eastAsia="Times New Roman" w:hAnsi="Times New Roman" w:cs="Times New Roman"/>
                <w:sz w:val="18"/>
              </w:rPr>
              <w:t xml:space="preserve">Buttons, Cactus, Mesc </w:t>
            </w:r>
          </w:p>
        </w:tc>
        <w:tc>
          <w:tcPr>
            <w:tcW w:w="3971" w:type="dxa"/>
            <w:tcBorders>
              <w:top w:val="nil"/>
              <w:left w:val="single" w:sz="4" w:space="0" w:color="000000"/>
              <w:bottom w:val="nil"/>
              <w:right w:val="single" w:sz="4" w:space="0" w:color="000000"/>
            </w:tcBorders>
          </w:tcPr>
          <w:p w14:paraId="36CC7F59" w14:textId="77777777" w:rsidR="002C3333" w:rsidRDefault="002C3333"/>
        </w:tc>
      </w:tr>
      <w:tr w:rsidR="002C3333" w14:paraId="2A3A5F86"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18378E97" w14:textId="77777777" w:rsidR="002C3333" w:rsidRDefault="002C3333">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2665F4AC" w14:textId="77777777" w:rsidR="002C3333" w:rsidRDefault="002C3333">
            <w:pPr>
              <w:ind w:left="6"/>
            </w:pPr>
            <w:r>
              <w:rPr>
                <w:rFonts w:ascii="Times New Roman" w:eastAsia="Times New Roman" w:hAnsi="Times New Roman" w:cs="Times New Roman"/>
                <w:sz w:val="18"/>
              </w:rPr>
              <w:t xml:space="preserve">None </w:t>
            </w:r>
          </w:p>
        </w:tc>
        <w:tc>
          <w:tcPr>
            <w:tcW w:w="3971" w:type="dxa"/>
            <w:vMerge w:val="restart"/>
            <w:tcBorders>
              <w:top w:val="nil"/>
              <w:left w:val="single" w:sz="4" w:space="0" w:color="000000"/>
              <w:bottom w:val="single" w:sz="4" w:space="0" w:color="000000"/>
              <w:right w:val="single" w:sz="4" w:space="0" w:color="000000"/>
            </w:tcBorders>
          </w:tcPr>
          <w:p w14:paraId="30683EB4" w14:textId="77777777" w:rsidR="002C3333" w:rsidRDefault="002C3333"/>
        </w:tc>
      </w:tr>
      <w:tr w:rsidR="002C3333" w14:paraId="0D848FDD" w14:textId="77777777" w:rsidTr="002C3333">
        <w:trPr>
          <w:trHeight w:val="221"/>
        </w:trPr>
        <w:tc>
          <w:tcPr>
            <w:tcW w:w="2240" w:type="dxa"/>
            <w:tcBorders>
              <w:top w:val="single" w:sz="4" w:space="0" w:color="000000"/>
              <w:left w:val="single" w:sz="4" w:space="0" w:color="000000"/>
              <w:bottom w:val="single" w:sz="4" w:space="0" w:color="000000"/>
              <w:right w:val="single" w:sz="4" w:space="0" w:color="000000"/>
            </w:tcBorders>
            <w:hideMark/>
          </w:tcPr>
          <w:p w14:paraId="1C6F733F" w14:textId="77777777" w:rsidR="002C3333" w:rsidRDefault="002C3333">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7AA4EA03" w14:textId="77777777" w:rsidR="002C3333" w:rsidRDefault="002C3333">
            <w:pPr>
              <w:ind w:left="6"/>
            </w:pPr>
            <w:r>
              <w:rPr>
                <w:rFonts w:ascii="Times New Roman" w:eastAsia="Times New Roman" w:hAnsi="Times New Roman" w:cs="Times New Roman"/>
                <w:sz w:val="18"/>
              </w:rPr>
              <w:t xml:space="preserve">Fresh or dried buttons, capsule </w:t>
            </w:r>
          </w:p>
        </w:tc>
        <w:tc>
          <w:tcPr>
            <w:tcW w:w="0" w:type="auto"/>
            <w:vMerge/>
            <w:tcBorders>
              <w:top w:val="nil"/>
              <w:left w:val="single" w:sz="4" w:space="0" w:color="000000"/>
              <w:bottom w:val="single" w:sz="4" w:space="0" w:color="000000"/>
              <w:right w:val="single" w:sz="4" w:space="0" w:color="000000"/>
            </w:tcBorders>
            <w:vAlign w:val="center"/>
            <w:hideMark/>
          </w:tcPr>
          <w:p w14:paraId="23B262C9" w14:textId="77777777" w:rsidR="002C3333" w:rsidRDefault="002C3333">
            <w:pPr>
              <w:rPr>
                <w:rFonts w:ascii="Calibri" w:eastAsia="Calibri" w:hAnsi="Calibri" w:cs="Calibri"/>
                <w:color w:val="000000"/>
              </w:rPr>
            </w:pPr>
          </w:p>
        </w:tc>
      </w:tr>
      <w:tr w:rsidR="002C3333" w14:paraId="6105118C"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318FD8C5" w14:textId="77777777" w:rsidR="002C3333" w:rsidRDefault="002C3333">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767BBBFB" w14:textId="77777777" w:rsidR="002C3333" w:rsidRDefault="002C3333">
            <w:pPr>
              <w:ind w:left="6"/>
            </w:pPr>
            <w:r>
              <w:rPr>
                <w:rFonts w:ascii="Times New Roman" w:eastAsia="Times New Roman" w:hAnsi="Times New Roman" w:cs="Times New Roman"/>
                <w:sz w:val="18"/>
              </w:rPr>
              <w:t xml:space="preserve">Swallowed (chewed or soaked in water and drunk) </w:t>
            </w:r>
          </w:p>
        </w:tc>
        <w:tc>
          <w:tcPr>
            <w:tcW w:w="0" w:type="auto"/>
            <w:vMerge/>
            <w:tcBorders>
              <w:top w:val="nil"/>
              <w:left w:val="single" w:sz="4" w:space="0" w:color="000000"/>
              <w:bottom w:val="single" w:sz="4" w:space="0" w:color="000000"/>
              <w:right w:val="single" w:sz="4" w:space="0" w:color="000000"/>
            </w:tcBorders>
            <w:vAlign w:val="center"/>
            <w:hideMark/>
          </w:tcPr>
          <w:p w14:paraId="03E771CA" w14:textId="77777777" w:rsidR="002C3333" w:rsidRDefault="002C3333">
            <w:pPr>
              <w:rPr>
                <w:rFonts w:ascii="Calibri" w:eastAsia="Calibri" w:hAnsi="Calibri" w:cs="Calibri"/>
                <w:color w:val="000000"/>
              </w:rPr>
            </w:pPr>
          </w:p>
        </w:tc>
      </w:tr>
      <w:tr w:rsidR="002C3333" w14:paraId="2E4CD8DF" w14:textId="77777777" w:rsidTr="002C3333">
        <w:trPr>
          <w:trHeight w:val="374"/>
        </w:trPr>
        <w:tc>
          <w:tcPr>
            <w:tcW w:w="2240" w:type="dxa"/>
            <w:tcBorders>
              <w:top w:val="single" w:sz="4" w:space="0" w:color="000000"/>
              <w:left w:val="single" w:sz="4" w:space="0" w:color="000000"/>
              <w:bottom w:val="single" w:sz="4" w:space="0" w:color="000000"/>
              <w:right w:val="single" w:sz="4" w:space="0" w:color="000000"/>
            </w:tcBorders>
            <w:hideMark/>
          </w:tcPr>
          <w:p w14:paraId="1A7F066C" w14:textId="77777777" w:rsidR="002C3333" w:rsidRDefault="002C3333">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1626198E" w14:textId="77777777" w:rsidR="002C3333" w:rsidRDefault="002C3333">
            <w:pPr>
              <w:ind w:left="6"/>
            </w:pPr>
            <w:r>
              <w:rPr>
                <w:rFonts w:ascii="Times New Roman" w:eastAsia="Times New Roman" w:hAnsi="Times New Roman" w:cs="Times New Roman"/>
                <w:sz w:val="18"/>
              </w:rPr>
              <w:t xml:space="preserve">Schedule I </w:t>
            </w:r>
          </w:p>
        </w:tc>
        <w:tc>
          <w:tcPr>
            <w:tcW w:w="0" w:type="auto"/>
            <w:vMerge/>
            <w:tcBorders>
              <w:top w:val="nil"/>
              <w:left w:val="single" w:sz="4" w:space="0" w:color="000000"/>
              <w:bottom w:val="single" w:sz="4" w:space="0" w:color="000000"/>
              <w:right w:val="single" w:sz="4" w:space="0" w:color="000000"/>
            </w:tcBorders>
            <w:vAlign w:val="center"/>
            <w:hideMark/>
          </w:tcPr>
          <w:p w14:paraId="4EAF1887" w14:textId="77777777" w:rsidR="002C3333" w:rsidRDefault="002C3333">
            <w:pPr>
              <w:rPr>
                <w:rFonts w:ascii="Calibri" w:eastAsia="Calibri" w:hAnsi="Calibri" w:cs="Calibri"/>
                <w:color w:val="000000"/>
              </w:rPr>
            </w:pPr>
          </w:p>
        </w:tc>
      </w:tr>
    </w:tbl>
    <w:p w14:paraId="5528B715" w14:textId="77777777" w:rsidR="002C3333" w:rsidRDefault="002C3333" w:rsidP="002C3333">
      <w:pPr>
        <w:spacing w:after="0"/>
        <w:ind w:left="5"/>
        <w:rPr>
          <w:rFonts w:ascii="Calibri" w:eastAsia="Calibri" w:hAnsi="Calibri" w:cs="Calibri"/>
          <w:color w:val="000000"/>
          <w:kern w:val="2"/>
          <w:sz w:val="22"/>
          <w14:ligatures w14:val="standardContextual"/>
        </w:rPr>
      </w:pPr>
      <w:r>
        <w:rPr>
          <w:sz w:val="18"/>
        </w:rPr>
        <w:lastRenderedPageBreak/>
        <w:tab/>
      </w:r>
    </w:p>
    <w:tbl>
      <w:tblPr>
        <w:tblStyle w:val="TableGrid0"/>
        <w:tblW w:w="10170" w:type="dxa"/>
        <w:tblInd w:w="-5" w:type="dxa"/>
        <w:tblCellMar>
          <w:top w:w="5" w:type="dxa"/>
          <w:left w:w="106" w:type="dxa"/>
          <w:right w:w="79" w:type="dxa"/>
        </w:tblCellMar>
        <w:tblLook w:val="04A0" w:firstRow="1" w:lastRow="0" w:firstColumn="1" w:lastColumn="0" w:noHBand="0" w:noVBand="1"/>
      </w:tblPr>
      <w:tblGrid>
        <w:gridCol w:w="2240"/>
        <w:gridCol w:w="3959"/>
        <w:gridCol w:w="3971"/>
      </w:tblGrid>
      <w:tr w:rsidR="002C3333" w14:paraId="2BD7EE36" w14:textId="77777777" w:rsidTr="002C3333">
        <w:trPr>
          <w:trHeight w:val="228"/>
        </w:trPr>
        <w:tc>
          <w:tcPr>
            <w:tcW w:w="2240" w:type="dxa"/>
            <w:tcBorders>
              <w:top w:val="single" w:sz="4" w:space="0" w:color="000000"/>
              <w:left w:val="single" w:sz="4" w:space="0" w:color="000000"/>
              <w:bottom w:val="single" w:sz="4" w:space="0" w:color="000000"/>
              <w:right w:val="nil"/>
            </w:tcBorders>
            <w:shd w:val="clear" w:color="auto" w:fill="A6B4E4" w:themeFill="text2" w:themeFillTint="40"/>
            <w:hideMark/>
          </w:tcPr>
          <w:p w14:paraId="160472D4" w14:textId="77777777" w:rsidR="002C3333" w:rsidRDefault="002C3333">
            <w:r>
              <w:rPr>
                <w:rFonts w:ascii="Times New Roman" w:eastAsia="Times New Roman" w:hAnsi="Times New Roman" w:cs="Times New Roman"/>
                <w:b/>
                <w:sz w:val="18"/>
              </w:rPr>
              <w:t>Methamphetamine</w:t>
            </w:r>
            <w:r>
              <w:rPr>
                <w:rFonts w:ascii="Times New Roman" w:eastAsia="Times New Roman" w:hAnsi="Times New Roman" w:cs="Times New Roman"/>
                <w:sz w:val="18"/>
              </w:rPr>
              <w:t xml:space="preserve"> </w:t>
            </w:r>
          </w:p>
        </w:tc>
        <w:tc>
          <w:tcPr>
            <w:tcW w:w="3959" w:type="dxa"/>
            <w:tcBorders>
              <w:top w:val="single" w:sz="4" w:space="0" w:color="000000"/>
              <w:left w:val="nil"/>
              <w:bottom w:val="single" w:sz="4" w:space="0" w:color="000000"/>
              <w:right w:val="single" w:sz="4" w:space="0" w:color="000000"/>
            </w:tcBorders>
            <w:shd w:val="clear" w:color="auto" w:fill="A6B4E4" w:themeFill="text2" w:themeFillTint="40"/>
          </w:tcPr>
          <w:p w14:paraId="43B5EC75" w14:textId="77777777" w:rsidR="002C3333" w:rsidRDefault="002C3333"/>
        </w:tc>
        <w:tc>
          <w:tcPr>
            <w:tcW w:w="3971" w:type="dxa"/>
            <w:vMerge w:val="restart"/>
            <w:tcBorders>
              <w:top w:val="single" w:sz="4" w:space="0" w:color="000000"/>
              <w:left w:val="single" w:sz="4" w:space="0" w:color="000000"/>
              <w:bottom w:val="single" w:sz="4" w:space="0" w:color="000000"/>
              <w:right w:val="single" w:sz="4" w:space="0" w:color="000000"/>
            </w:tcBorders>
            <w:hideMark/>
          </w:tcPr>
          <w:p w14:paraId="353D1C3F" w14:textId="77777777" w:rsidR="002C3333" w:rsidRDefault="002C3333">
            <w:pPr>
              <w:ind w:left="6"/>
            </w:pPr>
            <w:r>
              <w:rPr>
                <w:rFonts w:ascii="Times New Roman" w:eastAsia="Times New Roman" w:hAnsi="Times New Roman" w:cs="Times New Roman"/>
                <w:b/>
                <w:sz w:val="18"/>
              </w:rPr>
              <w:t>Possible Health Effects:</w:t>
            </w:r>
            <w:r>
              <w:rPr>
                <w:rFonts w:ascii="Times New Roman" w:eastAsia="Times New Roman" w:hAnsi="Times New Roman" w:cs="Times New Roman"/>
                <w:sz w:val="18"/>
              </w:rPr>
              <w:t xml:space="preserve"> </w:t>
            </w:r>
          </w:p>
          <w:p w14:paraId="04716B44" w14:textId="77777777" w:rsidR="002C3333" w:rsidRDefault="002C3333">
            <w:pPr>
              <w:ind w:left="7"/>
            </w:pPr>
            <w:r>
              <w:rPr>
                <w:rFonts w:ascii="Times New Roman" w:eastAsia="Times New Roman" w:hAnsi="Times New Roman" w:cs="Times New Roman"/>
                <w:sz w:val="18"/>
                <w:u w:val="single" w:color="000000"/>
              </w:rPr>
              <w:t>Short-Term</w:t>
            </w:r>
            <w:r>
              <w:rPr>
                <w:rFonts w:ascii="Times New Roman" w:eastAsia="Times New Roman" w:hAnsi="Times New Roman" w:cs="Times New Roman"/>
                <w:sz w:val="18"/>
              </w:rPr>
              <w:t xml:space="preserve">: Increased wakefulness and physical activity; decreased appetite; increased breathing, heart rate, blood pressure, temperature; irregular heartbeat. </w:t>
            </w:r>
          </w:p>
          <w:p w14:paraId="0E2CC308" w14:textId="77777777" w:rsidR="002C3333" w:rsidRDefault="002C3333">
            <w:pPr>
              <w:spacing w:line="242" w:lineRule="auto"/>
              <w:ind w:left="7"/>
            </w:pPr>
            <w:r>
              <w:rPr>
                <w:rFonts w:ascii="Times New Roman" w:eastAsia="Times New Roman" w:hAnsi="Times New Roman" w:cs="Times New Roman"/>
                <w:sz w:val="18"/>
                <w:u w:val="single" w:color="000000"/>
              </w:rPr>
              <w:t xml:space="preserve">Long-Term: </w:t>
            </w:r>
            <w:r>
              <w:rPr>
                <w:rFonts w:ascii="Times New Roman" w:eastAsia="Times New Roman" w:hAnsi="Times New Roman" w:cs="Times New Roman"/>
                <w:sz w:val="18"/>
              </w:rPr>
              <w:t xml:space="preserve">Anxiety, confusion, insomnia, mood problems, violent behavior, paranoia, hallucinations, delusions, weight loss, severe dental problems ("meth mouth"), intense itching leading to skin sores from scratching. </w:t>
            </w:r>
          </w:p>
          <w:p w14:paraId="6642CDA4" w14:textId="77777777" w:rsidR="002C3333" w:rsidRDefault="002C3333">
            <w:pPr>
              <w:ind w:left="7" w:right="30"/>
            </w:pPr>
            <w:r>
              <w:rPr>
                <w:rFonts w:ascii="Times New Roman" w:eastAsia="Times New Roman" w:hAnsi="Times New Roman" w:cs="Times New Roman"/>
                <w:sz w:val="18"/>
                <w:u w:val="single" w:color="000000"/>
              </w:rPr>
              <w:t>Other Health-Related Issues</w:t>
            </w:r>
            <w:r>
              <w:rPr>
                <w:rFonts w:ascii="Times New Roman" w:eastAsia="Times New Roman" w:hAnsi="Times New Roman" w:cs="Times New Roman"/>
                <w:sz w:val="18"/>
              </w:rPr>
              <w:t xml:space="preserve">: Pregnancy: premature delivery; separation of the placenta from the uterus; low birth weight; lethargy; heart and brain problems. Risk of HIV, hepatitis, and other infectious diseases from shared needles. When combined with alcohol, it masks the depressant effect of alcohol, increasing risk of alcohol overdose; may increase blood pressure and jitters. Withdrawal symptoms include depression, anxiety, and tiredness. </w:t>
            </w:r>
          </w:p>
        </w:tc>
      </w:tr>
      <w:tr w:rsidR="002C3333" w14:paraId="0583F76F" w14:textId="77777777" w:rsidTr="002C3333">
        <w:trPr>
          <w:trHeight w:val="424"/>
        </w:trPr>
        <w:tc>
          <w:tcPr>
            <w:tcW w:w="2240" w:type="dxa"/>
            <w:tcBorders>
              <w:top w:val="single" w:sz="4" w:space="0" w:color="000000"/>
              <w:left w:val="single" w:sz="4" w:space="0" w:color="000000"/>
              <w:bottom w:val="single" w:sz="4" w:space="0" w:color="000000"/>
              <w:right w:val="single" w:sz="4" w:space="0" w:color="000000"/>
            </w:tcBorders>
            <w:hideMark/>
          </w:tcPr>
          <w:p w14:paraId="15DA5B19" w14:textId="77777777" w:rsidR="002C3333" w:rsidRDefault="002C3333">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74E57A83" w14:textId="77777777" w:rsidR="002C3333" w:rsidRDefault="002C3333">
            <w:pPr>
              <w:ind w:left="6"/>
            </w:pPr>
            <w:r>
              <w:rPr>
                <w:rFonts w:ascii="Times New Roman" w:eastAsia="Times New Roman" w:hAnsi="Times New Roman" w:cs="Times New Roman"/>
                <w:sz w:val="18"/>
              </w:rPr>
              <w:t xml:space="preserve">Crank, Chalk, Crystal, Fire, Glass, Go Fast, Ice, Meth, Speed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99E8C8" w14:textId="77777777" w:rsidR="002C3333" w:rsidRDefault="002C3333">
            <w:pPr>
              <w:rPr>
                <w:rFonts w:ascii="Calibri" w:eastAsia="Calibri" w:hAnsi="Calibri" w:cs="Calibri"/>
                <w:color w:val="000000"/>
              </w:rPr>
            </w:pPr>
          </w:p>
        </w:tc>
      </w:tr>
      <w:tr w:rsidR="002C3333" w14:paraId="212D50B2"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32B80856" w14:textId="77777777" w:rsidR="002C3333" w:rsidRDefault="002C3333">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592488C2" w14:textId="77777777" w:rsidR="002C3333" w:rsidRDefault="002C3333">
            <w:pPr>
              <w:ind w:left="6"/>
            </w:pPr>
            <w:r>
              <w:rPr>
                <w:rFonts w:ascii="Times New Roman" w:eastAsia="Times New Roman" w:hAnsi="Times New Roman" w:cs="Times New Roman"/>
                <w:sz w:val="18"/>
              </w:rPr>
              <w:t xml:space="preserve">Desoxyn®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9F592F" w14:textId="77777777" w:rsidR="002C3333" w:rsidRDefault="002C3333">
            <w:pPr>
              <w:rPr>
                <w:rFonts w:ascii="Calibri" w:eastAsia="Calibri" w:hAnsi="Calibri" w:cs="Calibri"/>
                <w:color w:val="000000"/>
              </w:rPr>
            </w:pPr>
          </w:p>
        </w:tc>
      </w:tr>
      <w:tr w:rsidR="002C3333" w14:paraId="69CD7CE9" w14:textId="77777777" w:rsidTr="002C3333">
        <w:trPr>
          <w:trHeight w:val="634"/>
        </w:trPr>
        <w:tc>
          <w:tcPr>
            <w:tcW w:w="2240" w:type="dxa"/>
            <w:tcBorders>
              <w:top w:val="single" w:sz="4" w:space="0" w:color="000000"/>
              <w:left w:val="single" w:sz="4" w:space="0" w:color="000000"/>
              <w:bottom w:val="single" w:sz="4" w:space="0" w:color="000000"/>
              <w:right w:val="single" w:sz="4" w:space="0" w:color="000000"/>
            </w:tcBorders>
            <w:hideMark/>
          </w:tcPr>
          <w:p w14:paraId="627D705D" w14:textId="77777777" w:rsidR="002C3333" w:rsidRDefault="002C3333">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014C865E" w14:textId="6B2BE3AF" w:rsidR="002C3333" w:rsidRDefault="002C3333">
            <w:pPr>
              <w:ind w:left="6"/>
            </w:pPr>
            <w:r>
              <w:rPr>
                <w:rFonts w:ascii="Times New Roman" w:eastAsia="Times New Roman" w:hAnsi="Times New Roman" w:cs="Times New Roman"/>
                <w:sz w:val="18"/>
              </w:rPr>
              <w:t xml:space="preserve">White powder or pill; crystal meth looks like pieces of glass or shiny </w:t>
            </w:r>
            <w:r w:rsidR="00AC137F">
              <w:rPr>
                <w:rFonts w:ascii="Times New Roman" w:eastAsia="Times New Roman" w:hAnsi="Times New Roman" w:cs="Times New Roman"/>
                <w:sz w:val="18"/>
              </w:rPr>
              <w:t>blue white</w:t>
            </w:r>
            <w:r>
              <w:rPr>
                <w:rFonts w:ascii="Times New Roman" w:eastAsia="Times New Roman" w:hAnsi="Times New Roman" w:cs="Times New Roman"/>
                <w:sz w:val="18"/>
              </w:rPr>
              <w:t xml:space="preserve"> "rocks" of different sizes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CB6ACF" w14:textId="77777777" w:rsidR="002C3333" w:rsidRDefault="002C3333">
            <w:pPr>
              <w:rPr>
                <w:rFonts w:ascii="Calibri" w:eastAsia="Calibri" w:hAnsi="Calibri" w:cs="Calibri"/>
                <w:color w:val="000000"/>
              </w:rPr>
            </w:pPr>
          </w:p>
        </w:tc>
      </w:tr>
      <w:tr w:rsidR="002C3333" w14:paraId="5A39128E" w14:textId="77777777" w:rsidTr="002C3333">
        <w:trPr>
          <w:trHeight w:val="422"/>
        </w:trPr>
        <w:tc>
          <w:tcPr>
            <w:tcW w:w="2240" w:type="dxa"/>
            <w:tcBorders>
              <w:top w:val="single" w:sz="4" w:space="0" w:color="000000"/>
              <w:left w:val="single" w:sz="4" w:space="0" w:color="000000"/>
              <w:bottom w:val="single" w:sz="4" w:space="0" w:color="000000"/>
              <w:right w:val="single" w:sz="4" w:space="0" w:color="000000"/>
            </w:tcBorders>
            <w:hideMark/>
          </w:tcPr>
          <w:p w14:paraId="0B3DE9D0" w14:textId="77777777" w:rsidR="002C3333" w:rsidRDefault="002C3333">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613F8B01" w14:textId="77777777" w:rsidR="002C3333" w:rsidRDefault="002C3333">
            <w:pPr>
              <w:ind w:left="6"/>
            </w:pPr>
            <w:r>
              <w:rPr>
                <w:rFonts w:ascii="Times New Roman" w:eastAsia="Times New Roman" w:hAnsi="Times New Roman" w:cs="Times New Roman"/>
                <w:sz w:val="18"/>
              </w:rPr>
              <w:t xml:space="preserve">Swallowed, snorted, smoked, injected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C49947" w14:textId="77777777" w:rsidR="002C3333" w:rsidRDefault="002C3333">
            <w:pPr>
              <w:rPr>
                <w:rFonts w:ascii="Calibri" w:eastAsia="Calibri" w:hAnsi="Calibri" w:cs="Calibri"/>
                <w:color w:val="000000"/>
              </w:rPr>
            </w:pPr>
          </w:p>
        </w:tc>
      </w:tr>
      <w:tr w:rsidR="002C3333" w14:paraId="0E0ADBAA" w14:textId="77777777" w:rsidTr="002C3333">
        <w:trPr>
          <w:trHeight w:val="1618"/>
        </w:trPr>
        <w:tc>
          <w:tcPr>
            <w:tcW w:w="2240" w:type="dxa"/>
            <w:tcBorders>
              <w:top w:val="single" w:sz="4" w:space="0" w:color="000000"/>
              <w:left w:val="single" w:sz="4" w:space="0" w:color="000000"/>
              <w:bottom w:val="single" w:sz="4" w:space="0" w:color="000000"/>
              <w:right w:val="single" w:sz="4" w:space="0" w:color="000000"/>
            </w:tcBorders>
            <w:hideMark/>
          </w:tcPr>
          <w:p w14:paraId="5A89C2A7" w14:textId="77777777" w:rsidR="002C3333" w:rsidRDefault="002C3333">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71FD5E2D" w14:textId="77777777" w:rsidR="002C3333" w:rsidRDefault="002C3333">
            <w:pPr>
              <w:ind w:left="6"/>
            </w:pPr>
            <w:r>
              <w:rPr>
                <w:rFonts w:ascii="Times New Roman" w:eastAsia="Times New Roman" w:hAnsi="Times New Roman" w:cs="Times New Roman"/>
                <w:sz w:val="18"/>
              </w:rPr>
              <w:t xml:space="preserve">Schedule II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12D890" w14:textId="77777777" w:rsidR="002C3333" w:rsidRDefault="002C3333">
            <w:pPr>
              <w:rPr>
                <w:rFonts w:ascii="Calibri" w:eastAsia="Calibri" w:hAnsi="Calibri" w:cs="Calibri"/>
                <w:color w:val="000000"/>
              </w:rPr>
            </w:pPr>
          </w:p>
        </w:tc>
      </w:tr>
    </w:tbl>
    <w:p w14:paraId="5199C9F2" w14:textId="77777777" w:rsidR="002C3333" w:rsidRDefault="002C3333" w:rsidP="002C3333">
      <w:pPr>
        <w:spacing w:after="0"/>
        <w:ind w:left="5"/>
        <w:rPr>
          <w:rFonts w:ascii="Calibri" w:eastAsia="Calibri" w:hAnsi="Calibri" w:cs="Calibri"/>
          <w:color w:val="000000"/>
          <w:kern w:val="2"/>
          <w:sz w:val="20"/>
          <w14:ligatures w14:val="standardContextual"/>
        </w:rPr>
      </w:pPr>
      <w:r>
        <w:rPr>
          <w:sz w:val="20"/>
        </w:rPr>
        <w:tab/>
      </w:r>
    </w:p>
    <w:tbl>
      <w:tblPr>
        <w:tblStyle w:val="TableGrid0"/>
        <w:tblW w:w="10170" w:type="dxa"/>
        <w:tblInd w:w="-5" w:type="dxa"/>
        <w:tblCellMar>
          <w:top w:w="5" w:type="dxa"/>
          <w:left w:w="106" w:type="dxa"/>
          <w:right w:w="103" w:type="dxa"/>
        </w:tblCellMar>
        <w:tblLook w:val="04A0" w:firstRow="1" w:lastRow="0" w:firstColumn="1" w:lastColumn="0" w:noHBand="0" w:noVBand="1"/>
      </w:tblPr>
      <w:tblGrid>
        <w:gridCol w:w="2240"/>
        <w:gridCol w:w="3959"/>
        <w:gridCol w:w="3971"/>
      </w:tblGrid>
      <w:tr w:rsidR="002C3333" w14:paraId="5ED7BF41" w14:textId="77777777" w:rsidTr="002C3333">
        <w:trPr>
          <w:trHeight w:val="214"/>
        </w:trPr>
        <w:tc>
          <w:tcPr>
            <w:tcW w:w="6199" w:type="dxa"/>
            <w:gridSpan w:val="2"/>
            <w:tcBorders>
              <w:top w:val="single" w:sz="4" w:space="0" w:color="000000"/>
              <w:left w:val="single" w:sz="4" w:space="0" w:color="000000"/>
              <w:bottom w:val="single" w:sz="4" w:space="0" w:color="000000"/>
              <w:right w:val="single" w:sz="4" w:space="0" w:color="000000"/>
            </w:tcBorders>
            <w:shd w:val="clear" w:color="auto" w:fill="A6B4E4" w:themeFill="text2" w:themeFillTint="40"/>
            <w:hideMark/>
          </w:tcPr>
          <w:p w14:paraId="13E523CE" w14:textId="77777777" w:rsidR="002C3333" w:rsidRDefault="002C3333">
            <w:r>
              <w:rPr>
                <w:rFonts w:ascii="Times New Roman" w:eastAsia="Times New Roman" w:hAnsi="Times New Roman" w:cs="Times New Roman"/>
                <w:b/>
                <w:sz w:val="18"/>
              </w:rPr>
              <w:t>Over-the-counter Cough/Cold Medicines (Dextromethorphan or DMX)</w:t>
            </w:r>
            <w:r>
              <w:rPr>
                <w:rFonts w:ascii="Times New Roman" w:eastAsia="Times New Roman" w:hAnsi="Times New Roman" w:cs="Times New Roman"/>
                <w:sz w:val="18"/>
              </w:rPr>
              <w:t xml:space="preserve"> </w:t>
            </w:r>
          </w:p>
        </w:tc>
        <w:tc>
          <w:tcPr>
            <w:tcW w:w="3971" w:type="dxa"/>
            <w:vMerge w:val="restart"/>
            <w:tcBorders>
              <w:top w:val="single" w:sz="4" w:space="0" w:color="000000"/>
              <w:left w:val="single" w:sz="4" w:space="0" w:color="000000"/>
              <w:bottom w:val="single" w:sz="4" w:space="0" w:color="000000"/>
              <w:right w:val="single" w:sz="4" w:space="0" w:color="000000"/>
            </w:tcBorders>
            <w:hideMark/>
          </w:tcPr>
          <w:p w14:paraId="589B55F9" w14:textId="77777777" w:rsidR="002C3333" w:rsidRDefault="002C3333">
            <w:pPr>
              <w:ind w:left="8"/>
            </w:pPr>
            <w:r>
              <w:rPr>
                <w:rFonts w:ascii="Times New Roman" w:eastAsia="Times New Roman" w:hAnsi="Times New Roman" w:cs="Times New Roman"/>
                <w:b/>
                <w:sz w:val="18"/>
              </w:rPr>
              <w:t>Possible Health Effects:</w:t>
            </w:r>
            <w:r>
              <w:rPr>
                <w:rFonts w:ascii="Times New Roman" w:eastAsia="Times New Roman" w:hAnsi="Times New Roman" w:cs="Times New Roman"/>
                <w:sz w:val="18"/>
              </w:rPr>
              <w:t xml:space="preserve"> </w:t>
            </w:r>
          </w:p>
          <w:p w14:paraId="5A3E1DE1" w14:textId="77777777" w:rsidR="002C3333" w:rsidRDefault="002C3333">
            <w:pPr>
              <w:spacing w:after="6" w:line="237" w:lineRule="auto"/>
              <w:ind w:left="7"/>
            </w:pPr>
            <w:r>
              <w:rPr>
                <w:rFonts w:ascii="Times New Roman" w:eastAsia="Times New Roman" w:hAnsi="Times New Roman" w:cs="Times New Roman"/>
                <w:sz w:val="18"/>
                <w:u w:val="single" w:color="000000"/>
              </w:rPr>
              <w:t>Short-Term</w:t>
            </w:r>
            <w:r>
              <w:rPr>
                <w:rFonts w:ascii="Times New Roman" w:eastAsia="Times New Roman" w:hAnsi="Times New Roman" w:cs="Times New Roman"/>
                <w:sz w:val="18"/>
              </w:rPr>
              <w:t xml:space="preserve">: Euphoria; slurred speech; increased heart rate, blood pressure, temperature; numbness; dizziness; nausea; vomiting; confusion; paranoia; altered visual perceptions; problems with movement; buildup of excess acid in body fluids. </w:t>
            </w:r>
          </w:p>
          <w:p w14:paraId="1C0D1436" w14:textId="77777777" w:rsidR="002C3333" w:rsidRDefault="002C3333">
            <w:pPr>
              <w:ind w:left="7"/>
            </w:pPr>
            <w:r>
              <w:rPr>
                <w:rFonts w:ascii="Times New Roman" w:eastAsia="Times New Roman" w:hAnsi="Times New Roman" w:cs="Times New Roman"/>
                <w:sz w:val="18"/>
                <w:u w:val="single" w:color="000000"/>
              </w:rPr>
              <w:t xml:space="preserve">Long-Term: </w:t>
            </w:r>
            <w:r>
              <w:rPr>
                <w:rFonts w:ascii="Times New Roman" w:eastAsia="Times New Roman" w:hAnsi="Times New Roman" w:cs="Times New Roman"/>
                <w:sz w:val="18"/>
              </w:rPr>
              <w:t xml:space="preserve">Unknown. </w:t>
            </w:r>
          </w:p>
          <w:p w14:paraId="3CCD1C6E" w14:textId="77777777" w:rsidR="002C3333" w:rsidRDefault="002C3333">
            <w:pPr>
              <w:ind w:left="7"/>
              <w:rPr>
                <w:rFonts w:ascii="Times New Roman" w:eastAsia="Times New Roman" w:hAnsi="Times New Roman" w:cs="Times New Roman"/>
                <w:sz w:val="18"/>
              </w:rPr>
            </w:pPr>
            <w:r>
              <w:rPr>
                <w:rFonts w:ascii="Times New Roman" w:eastAsia="Times New Roman" w:hAnsi="Times New Roman" w:cs="Times New Roman"/>
                <w:sz w:val="18"/>
                <w:u w:val="single" w:color="000000"/>
              </w:rPr>
              <w:t xml:space="preserve">Other Health-Related Issues: </w:t>
            </w:r>
            <w:r>
              <w:rPr>
                <w:rFonts w:ascii="Times New Roman" w:eastAsia="Times New Roman" w:hAnsi="Times New Roman" w:cs="Times New Roman"/>
                <w:sz w:val="18"/>
              </w:rPr>
              <w:t xml:space="preserve">Breathing problems, seizures, and increased heart rate may occur from other ingredients in </w:t>
            </w:r>
          </w:p>
          <w:p w14:paraId="23C8865F" w14:textId="77777777" w:rsidR="002C3333" w:rsidRDefault="002C3333">
            <w:pPr>
              <w:ind w:left="7"/>
              <w:rPr>
                <w:rFonts w:ascii="Calibri" w:eastAsia="Calibri" w:hAnsi="Calibri" w:cs="Calibri"/>
              </w:rPr>
            </w:pPr>
            <w:r>
              <w:rPr>
                <w:rFonts w:ascii="Times New Roman" w:eastAsia="Times New Roman" w:hAnsi="Times New Roman" w:cs="Times New Roman"/>
                <w:sz w:val="18"/>
              </w:rPr>
              <w:t xml:space="preserve">cough/cold medicines. In combination with alcohol, increased risk of these adverse effects. </w:t>
            </w:r>
          </w:p>
        </w:tc>
      </w:tr>
      <w:tr w:rsidR="002C3333" w14:paraId="44029D15" w14:textId="77777777" w:rsidTr="002C3333">
        <w:trPr>
          <w:trHeight w:val="222"/>
        </w:trPr>
        <w:tc>
          <w:tcPr>
            <w:tcW w:w="2240" w:type="dxa"/>
            <w:tcBorders>
              <w:top w:val="single" w:sz="4" w:space="0" w:color="000000"/>
              <w:left w:val="single" w:sz="4" w:space="0" w:color="000000"/>
              <w:bottom w:val="single" w:sz="4" w:space="0" w:color="000000"/>
              <w:right w:val="single" w:sz="4" w:space="0" w:color="000000"/>
            </w:tcBorders>
            <w:hideMark/>
          </w:tcPr>
          <w:p w14:paraId="15D10B2A" w14:textId="77777777" w:rsidR="002C3333" w:rsidRDefault="002C3333">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0FA608FA" w14:textId="77777777" w:rsidR="002C3333" w:rsidRDefault="002C3333">
            <w:pPr>
              <w:ind w:left="6"/>
            </w:pPr>
            <w:r>
              <w:rPr>
                <w:rFonts w:ascii="Times New Roman" w:eastAsia="Times New Roman" w:hAnsi="Times New Roman" w:cs="Times New Roman"/>
                <w:sz w:val="18"/>
              </w:rPr>
              <w:t xml:space="preserve">Robotripping, Robo, Triple C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B31391" w14:textId="77777777" w:rsidR="002C3333" w:rsidRDefault="002C3333">
            <w:pPr>
              <w:rPr>
                <w:rFonts w:ascii="Calibri" w:eastAsia="Calibri" w:hAnsi="Calibri" w:cs="Calibri"/>
                <w:color w:val="000000"/>
              </w:rPr>
            </w:pPr>
          </w:p>
        </w:tc>
      </w:tr>
      <w:tr w:rsidR="002C3333" w14:paraId="555276FA"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33510EC3" w14:textId="77777777" w:rsidR="002C3333" w:rsidRDefault="002C3333">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47B02A67" w14:textId="77777777" w:rsidR="002C3333" w:rsidRDefault="002C3333">
            <w:pPr>
              <w:ind w:left="6"/>
            </w:pPr>
            <w:r>
              <w:rPr>
                <w:rFonts w:ascii="Times New Roman" w:eastAsia="Times New Roman" w:hAnsi="Times New Roman" w:cs="Times New Roman"/>
                <w:sz w:val="18"/>
              </w:rPr>
              <w:t xml:space="preserve">Various (many brand names include "DM")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5789E8" w14:textId="77777777" w:rsidR="002C3333" w:rsidRDefault="002C3333">
            <w:pPr>
              <w:rPr>
                <w:rFonts w:ascii="Calibri" w:eastAsia="Calibri" w:hAnsi="Calibri" w:cs="Calibri"/>
                <w:color w:val="000000"/>
              </w:rPr>
            </w:pPr>
          </w:p>
        </w:tc>
      </w:tr>
      <w:tr w:rsidR="002C3333" w14:paraId="2657A4CB"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57AB2BA9" w14:textId="77777777" w:rsidR="002C3333" w:rsidRDefault="002C3333">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5CB6E03D" w14:textId="77777777" w:rsidR="002C3333" w:rsidRDefault="002C3333">
            <w:pPr>
              <w:ind w:left="6"/>
            </w:pPr>
            <w:r>
              <w:rPr>
                <w:rFonts w:ascii="Times New Roman" w:eastAsia="Times New Roman" w:hAnsi="Times New Roman" w:cs="Times New Roman"/>
                <w:sz w:val="18"/>
              </w:rPr>
              <w:t xml:space="preserve">Syrup, capsule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C568F0" w14:textId="77777777" w:rsidR="002C3333" w:rsidRDefault="002C3333">
            <w:pPr>
              <w:rPr>
                <w:rFonts w:ascii="Calibri" w:eastAsia="Calibri" w:hAnsi="Calibri" w:cs="Calibri"/>
                <w:color w:val="000000"/>
              </w:rPr>
            </w:pPr>
          </w:p>
        </w:tc>
      </w:tr>
      <w:tr w:rsidR="002C3333" w14:paraId="096E2359"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0B59BEEA" w14:textId="77777777" w:rsidR="002C3333" w:rsidRDefault="002C3333">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0CFDCF35" w14:textId="77777777" w:rsidR="002C3333" w:rsidRDefault="002C3333">
            <w:pPr>
              <w:ind w:left="6"/>
            </w:pPr>
            <w:r>
              <w:rPr>
                <w:rFonts w:ascii="Times New Roman" w:eastAsia="Times New Roman" w:hAnsi="Times New Roman" w:cs="Times New Roman"/>
                <w:sz w:val="18"/>
              </w:rPr>
              <w:t xml:space="preserve">Swallowed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02E093" w14:textId="77777777" w:rsidR="002C3333" w:rsidRDefault="002C3333">
            <w:pPr>
              <w:rPr>
                <w:rFonts w:ascii="Calibri" w:eastAsia="Calibri" w:hAnsi="Calibri" w:cs="Calibri"/>
                <w:color w:val="000000"/>
              </w:rPr>
            </w:pPr>
          </w:p>
        </w:tc>
      </w:tr>
      <w:tr w:rsidR="002C3333" w14:paraId="17D049FF" w14:textId="77777777" w:rsidTr="002C3333">
        <w:trPr>
          <w:trHeight w:val="1205"/>
        </w:trPr>
        <w:tc>
          <w:tcPr>
            <w:tcW w:w="2240" w:type="dxa"/>
            <w:tcBorders>
              <w:top w:val="single" w:sz="4" w:space="0" w:color="000000"/>
              <w:left w:val="single" w:sz="4" w:space="0" w:color="000000"/>
              <w:bottom w:val="single" w:sz="4" w:space="0" w:color="000000"/>
              <w:right w:val="single" w:sz="4" w:space="0" w:color="000000"/>
            </w:tcBorders>
            <w:hideMark/>
          </w:tcPr>
          <w:p w14:paraId="614ECCCC" w14:textId="77777777" w:rsidR="002C3333" w:rsidRDefault="002C3333">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tcPr>
          <w:p w14:paraId="27139004" w14:textId="77777777" w:rsidR="002C3333" w:rsidRDefault="002C3333">
            <w:pPr>
              <w:ind w:left="6"/>
              <w:rPr>
                <w:rFonts w:ascii="Times New Roman" w:eastAsia="Times New Roman" w:hAnsi="Times New Roman" w:cs="Times New Roman"/>
                <w:sz w:val="18"/>
              </w:rPr>
            </w:pPr>
            <w:r>
              <w:rPr>
                <w:rFonts w:ascii="Times New Roman" w:eastAsia="Times New Roman" w:hAnsi="Times New Roman" w:cs="Times New Roman"/>
                <w:sz w:val="18"/>
              </w:rPr>
              <w:t xml:space="preserve">Not scheduled </w:t>
            </w:r>
          </w:p>
          <w:p w14:paraId="3488A506" w14:textId="77777777" w:rsidR="002C3333" w:rsidRDefault="002C3333">
            <w:pPr>
              <w:ind w:left="6"/>
              <w:rPr>
                <w:rFonts w:ascii="Times New Roman" w:eastAsia="Times New Roman" w:hAnsi="Times New Roman" w:cs="Times New Roman"/>
                <w:sz w:val="18"/>
              </w:rPr>
            </w:pPr>
          </w:p>
          <w:p w14:paraId="792F9A2A" w14:textId="77777777" w:rsidR="002C3333" w:rsidRDefault="002C3333">
            <w:pPr>
              <w:ind w:left="6"/>
              <w:rPr>
                <w:rFonts w:ascii="Times New Roman" w:eastAsia="Times New Roman" w:hAnsi="Times New Roman" w:cs="Times New Roman"/>
                <w:sz w:val="18"/>
              </w:rPr>
            </w:pPr>
          </w:p>
          <w:p w14:paraId="323A25EF" w14:textId="77777777" w:rsidR="002C3333" w:rsidRDefault="002C3333">
            <w:pPr>
              <w:ind w:left="6"/>
              <w:rPr>
                <w:rFonts w:ascii="Times New Roman" w:eastAsia="Times New Roman" w:hAnsi="Times New Roman" w:cs="Times New Roman"/>
                <w:sz w:val="18"/>
              </w:rPr>
            </w:pPr>
          </w:p>
          <w:p w14:paraId="7BCE1238" w14:textId="77777777" w:rsidR="002C3333" w:rsidRDefault="002C3333">
            <w:pPr>
              <w:ind w:left="6"/>
              <w:rPr>
                <w:rFonts w:ascii="Times New Roman" w:eastAsia="Times New Roman" w:hAnsi="Times New Roman" w:cs="Times New Roman"/>
                <w:sz w:val="18"/>
              </w:rPr>
            </w:pPr>
          </w:p>
          <w:p w14:paraId="2B9DEABA" w14:textId="77777777" w:rsidR="002C3333" w:rsidRDefault="002C3333">
            <w:pPr>
              <w:ind w:left="6"/>
              <w:rPr>
                <w:rFonts w:ascii="Times New Roman" w:eastAsia="Times New Roman" w:hAnsi="Times New Roman" w:cs="Times New Roman"/>
                <w:sz w:val="18"/>
              </w:rPr>
            </w:pPr>
          </w:p>
          <w:p w14:paraId="6442A920" w14:textId="77777777" w:rsidR="002C3333" w:rsidRDefault="002C3333">
            <w:pPr>
              <w:ind w:left="6"/>
              <w:rPr>
                <w:rFonts w:ascii="Calibri" w:eastAsia="Calibri" w:hAnsi="Calibri" w:cs="Calibri"/>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5F1C5F" w14:textId="77777777" w:rsidR="002C3333" w:rsidRDefault="002C3333">
            <w:pPr>
              <w:rPr>
                <w:rFonts w:ascii="Calibri" w:eastAsia="Calibri" w:hAnsi="Calibri" w:cs="Calibri"/>
                <w:color w:val="000000"/>
              </w:rPr>
            </w:pPr>
          </w:p>
        </w:tc>
      </w:tr>
    </w:tbl>
    <w:p w14:paraId="2CB37B41" w14:textId="77777777" w:rsidR="002C3333" w:rsidRDefault="002C3333" w:rsidP="002C3333">
      <w:pPr>
        <w:spacing w:after="126"/>
        <w:ind w:left="5"/>
        <w:rPr>
          <w:rFonts w:ascii="Calibri" w:eastAsia="Calibri" w:hAnsi="Calibri" w:cs="Calibri"/>
          <w:color w:val="000000"/>
          <w:kern w:val="2"/>
          <w:sz w:val="20"/>
          <w:szCs w:val="20"/>
          <w14:ligatures w14:val="standardContextual"/>
        </w:rPr>
      </w:pPr>
      <w:r>
        <w:rPr>
          <w:sz w:val="18"/>
        </w:rPr>
        <w:tab/>
      </w:r>
    </w:p>
    <w:tbl>
      <w:tblPr>
        <w:tblStyle w:val="TableGrid0"/>
        <w:tblW w:w="10170" w:type="dxa"/>
        <w:tblInd w:w="-5" w:type="dxa"/>
        <w:tblCellMar>
          <w:top w:w="5" w:type="dxa"/>
          <w:left w:w="106" w:type="dxa"/>
          <w:right w:w="101" w:type="dxa"/>
        </w:tblCellMar>
        <w:tblLook w:val="04A0" w:firstRow="1" w:lastRow="0" w:firstColumn="1" w:lastColumn="0" w:noHBand="0" w:noVBand="1"/>
      </w:tblPr>
      <w:tblGrid>
        <w:gridCol w:w="2240"/>
        <w:gridCol w:w="3959"/>
        <w:gridCol w:w="3971"/>
      </w:tblGrid>
      <w:tr w:rsidR="002C3333" w14:paraId="10251B0C" w14:textId="77777777" w:rsidTr="002C3333">
        <w:trPr>
          <w:trHeight w:val="264"/>
        </w:trPr>
        <w:tc>
          <w:tcPr>
            <w:tcW w:w="2240" w:type="dxa"/>
            <w:tcBorders>
              <w:top w:val="single" w:sz="4" w:space="0" w:color="000000"/>
              <w:left w:val="single" w:sz="4" w:space="0" w:color="000000"/>
              <w:bottom w:val="single" w:sz="4" w:space="0" w:color="000000"/>
              <w:right w:val="nil"/>
            </w:tcBorders>
            <w:shd w:val="clear" w:color="auto" w:fill="A6B4E4" w:themeFill="text2" w:themeFillTint="40"/>
            <w:hideMark/>
          </w:tcPr>
          <w:p w14:paraId="7C8C2841" w14:textId="77777777" w:rsidR="002C3333" w:rsidRDefault="002C3333">
            <w:r>
              <w:rPr>
                <w:rFonts w:ascii="Times New Roman" w:eastAsia="Times New Roman" w:hAnsi="Times New Roman" w:cs="Times New Roman"/>
                <w:b/>
                <w:sz w:val="18"/>
              </w:rPr>
              <w:t>PCP</w:t>
            </w:r>
          </w:p>
        </w:tc>
        <w:tc>
          <w:tcPr>
            <w:tcW w:w="3959" w:type="dxa"/>
            <w:tcBorders>
              <w:top w:val="single" w:sz="4" w:space="0" w:color="000000"/>
              <w:left w:val="nil"/>
              <w:bottom w:val="single" w:sz="4" w:space="0" w:color="000000"/>
              <w:right w:val="single" w:sz="4" w:space="0" w:color="000000"/>
            </w:tcBorders>
            <w:shd w:val="clear" w:color="auto" w:fill="A6B4E4" w:themeFill="text2" w:themeFillTint="40"/>
          </w:tcPr>
          <w:p w14:paraId="27F135EF" w14:textId="77777777" w:rsidR="002C3333" w:rsidRDefault="002C3333"/>
        </w:tc>
        <w:tc>
          <w:tcPr>
            <w:tcW w:w="3971" w:type="dxa"/>
            <w:vMerge w:val="restart"/>
            <w:tcBorders>
              <w:top w:val="single" w:sz="4" w:space="0" w:color="000000"/>
              <w:left w:val="single" w:sz="4" w:space="0" w:color="000000"/>
              <w:bottom w:val="single" w:sz="4" w:space="0" w:color="000000"/>
              <w:right w:val="single" w:sz="4" w:space="0" w:color="000000"/>
            </w:tcBorders>
            <w:hideMark/>
          </w:tcPr>
          <w:p w14:paraId="6BAED016" w14:textId="77777777" w:rsidR="002C3333" w:rsidRDefault="002C3333">
            <w:pPr>
              <w:ind w:left="7"/>
            </w:pPr>
            <w:r>
              <w:rPr>
                <w:rFonts w:ascii="Times New Roman" w:eastAsia="Times New Roman" w:hAnsi="Times New Roman" w:cs="Times New Roman"/>
                <w:b/>
                <w:sz w:val="18"/>
              </w:rPr>
              <w:t>Possible Health Effects:</w:t>
            </w:r>
            <w:r>
              <w:rPr>
                <w:rFonts w:ascii="Times New Roman" w:eastAsia="Times New Roman" w:hAnsi="Times New Roman" w:cs="Times New Roman"/>
                <w:sz w:val="18"/>
              </w:rPr>
              <w:t xml:space="preserve"> </w:t>
            </w:r>
          </w:p>
          <w:p w14:paraId="2C71DA06" w14:textId="77777777" w:rsidR="002C3333" w:rsidRDefault="002C3333">
            <w:pPr>
              <w:spacing w:after="5"/>
              <w:ind w:left="7"/>
            </w:pPr>
            <w:r>
              <w:rPr>
                <w:rFonts w:ascii="Times New Roman" w:eastAsia="Times New Roman" w:hAnsi="Times New Roman" w:cs="Times New Roman"/>
                <w:sz w:val="18"/>
                <w:u w:val="single" w:color="000000"/>
              </w:rPr>
              <w:t xml:space="preserve">Short-Term: </w:t>
            </w:r>
            <w:r>
              <w:rPr>
                <w:rFonts w:ascii="Times New Roman" w:eastAsia="Times New Roman" w:hAnsi="Times New Roman" w:cs="Times New Roman"/>
                <w:sz w:val="18"/>
              </w:rPr>
              <w:t xml:space="preserve">Delusions, hallucination, paranoia, problems thinking, sense of distance from one’s environment, anxiety. Slight increase in breathing rate; increased blood pressure and heart rate; shallow breathing; face redness &amp; sweating; numbness of the hands or feet; problems with movement in low doses. Lowered blood pressure, pulse rate, breathing rate; nausea; vomiting; blurred vision; flicking up and down of the eyes; drooling; loss of balance; dizziness; violence; suicidal thoughts; seizures, coma, &amp; death with high doses. </w:t>
            </w:r>
            <w:r>
              <w:rPr>
                <w:rFonts w:ascii="Times New Roman" w:eastAsia="Times New Roman" w:hAnsi="Times New Roman" w:cs="Times New Roman"/>
                <w:sz w:val="18"/>
                <w:u w:val="single" w:color="000000"/>
              </w:rPr>
              <w:t xml:space="preserve">Long-Term: </w:t>
            </w:r>
            <w:r>
              <w:rPr>
                <w:rFonts w:ascii="Times New Roman" w:eastAsia="Times New Roman" w:hAnsi="Times New Roman" w:cs="Times New Roman"/>
                <w:sz w:val="18"/>
              </w:rPr>
              <w:t xml:space="preserve">Memory loss, problems with speech and thinking, depression, weight loss, anxiety. </w:t>
            </w:r>
          </w:p>
          <w:p w14:paraId="26C5DFBD" w14:textId="77777777" w:rsidR="002C3333" w:rsidRDefault="002C3333">
            <w:pPr>
              <w:ind w:left="7"/>
            </w:pPr>
            <w:r>
              <w:rPr>
                <w:rFonts w:ascii="Times New Roman" w:eastAsia="Times New Roman" w:hAnsi="Times New Roman" w:cs="Times New Roman"/>
                <w:sz w:val="18"/>
                <w:u w:val="single" w:color="000000"/>
              </w:rPr>
              <w:t xml:space="preserve">Other Health-Related Issues: </w:t>
            </w:r>
            <w:r>
              <w:rPr>
                <w:rFonts w:ascii="Times New Roman" w:eastAsia="Times New Roman" w:hAnsi="Times New Roman" w:cs="Times New Roman"/>
                <w:sz w:val="18"/>
              </w:rPr>
              <w:t xml:space="preserve">PCP has been linked to self- injury. Risk of HIV, hepatitis, and other infectious diseases from shared needles. Increased risk of coma. Headaches, sweating. </w:t>
            </w:r>
          </w:p>
        </w:tc>
      </w:tr>
      <w:tr w:rsidR="002C3333" w14:paraId="6346EA76" w14:textId="77777777" w:rsidTr="002C3333">
        <w:trPr>
          <w:trHeight w:val="217"/>
        </w:trPr>
        <w:tc>
          <w:tcPr>
            <w:tcW w:w="2240" w:type="dxa"/>
            <w:tcBorders>
              <w:top w:val="single" w:sz="4" w:space="0" w:color="000000"/>
              <w:left w:val="single" w:sz="4" w:space="0" w:color="000000"/>
              <w:bottom w:val="single" w:sz="4" w:space="0" w:color="000000"/>
              <w:right w:val="single" w:sz="4" w:space="0" w:color="000000"/>
            </w:tcBorders>
            <w:hideMark/>
          </w:tcPr>
          <w:p w14:paraId="7A8B5679" w14:textId="77777777" w:rsidR="002C3333" w:rsidRDefault="002C3333">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4E816C39" w14:textId="77777777" w:rsidR="002C3333" w:rsidRDefault="002C3333">
            <w:pPr>
              <w:ind w:left="6"/>
            </w:pPr>
            <w:r>
              <w:rPr>
                <w:rFonts w:ascii="Times New Roman" w:eastAsia="Times New Roman" w:hAnsi="Times New Roman" w:cs="Times New Roman"/>
                <w:sz w:val="18"/>
              </w:rPr>
              <w:t xml:space="preserve">Angel Dust, Boat, Hog, Love Boat, Peace Pill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21A1BE" w14:textId="77777777" w:rsidR="002C3333" w:rsidRDefault="002C3333">
            <w:pPr>
              <w:rPr>
                <w:rFonts w:ascii="Calibri" w:eastAsia="Calibri" w:hAnsi="Calibri" w:cs="Calibri"/>
                <w:color w:val="000000"/>
              </w:rPr>
            </w:pPr>
          </w:p>
        </w:tc>
      </w:tr>
      <w:tr w:rsidR="002C3333" w14:paraId="7DF0951D"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329D950C" w14:textId="77777777" w:rsidR="002C3333" w:rsidRDefault="002C3333">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626BC194" w14:textId="77777777" w:rsidR="002C3333" w:rsidRDefault="002C3333">
            <w:pPr>
              <w:ind w:left="6"/>
            </w:pPr>
            <w:r>
              <w:rPr>
                <w:rFonts w:ascii="Times New Roman" w:eastAsia="Times New Roman" w:hAnsi="Times New Roman" w:cs="Times New Roman"/>
                <w:sz w:val="18"/>
              </w:rPr>
              <w:t xml:space="preserve">None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EE2AE6" w14:textId="77777777" w:rsidR="002C3333" w:rsidRDefault="002C3333">
            <w:pPr>
              <w:rPr>
                <w:rFonts w:ascii="Calibri" w:eastAsia="Calibri" w:hAnsi="Calibri" w:cs="Calibri"/>
                <w:color w:val="000000"/>
              </w:rPr>
            </w:pPr>
          </w:p>
        </w:tc>
      </w:tr>
      <w:tr w:rsidR="002C3333" w14:paraId="5AE40A88" w14:textId="77777777" w:rsidTr="002C3333">
        <w:trPr>
          <w:trHeight w:val="427"/>
        </w:trPr>
        <w:tc>
          <w:tcPr>
            <w:tcW w:w="2240" w:type="dxa"/>
            <w:tcBorders>
              <w:top w:val="single" w:sz="4" w:space="0" w:color="000000"/>
              <w:left w:val="single" w:sz="4" w:space="0" w:color="000000"/>
              <w:bottom w:val="single" w:sz="4" w:space="0" w:color="000000"/>
              <w:right w:val="single" w:sz="4" w:space="0" w:color="000000"/>
            </w:tcBorders>
            <w:hideMark/>
          </w:tcPr>
          <w:p w14:paraId="11957864" w14:textId="77777777" w:rsidR="002C3333" w:rsidRDefault="002C3333">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2E385BBC" w14:textId="77777777" w:rsidR="002C3333" w:rsidRDefault="002C3333">
            <w:pPr>
              <w:ind w:left="6"/>
            </w:pPr>
            <w:r>
              <w:rPr>
                <w:rFonts w:ascii="Times New Roman" w:eastAsia="Times New Roman" w:hAnsi="Times New Roman" w:cs="Times New Roman"/>
                <w:sz w:val="18"/>
              </w:rPr>
              <w:t xml:space="preserve">White or colored powder, tablet, or capsule; clear liquid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24191B" w14:textId="77777777" w:rsidR="002C3333" w:rsidRDefault="002C3333">
            <w:pPr>
              <w:rPr>
                <w:rFonts w:ascii="Calibri" w:eastAsia="Calibri" w:hAnsi="Calibri" w:cs="Calibri"/>
                <w:color w:val="000000"/>
              </w:rPr>
            </w:pPr>
          </w:p>
        </w:tc>
      </w:tr>
      <w:tr w:rsidR="002C3333" w14:paraId="4341F452" w14:textId="77777777" w:rsidTr="002C3333">
        <w:trPr>
          <w:trHeight w:val="422"/>
        </w:trPr>
        <w:tc>
          <w:tcPr>
            <w:tcW w:w="2240" w:type="dxa"/>
            <w:tcBorders>
              <w:top w:val="single" w:sz="4" w:space="0" w:color="000000"/>
              <w:left w:val="single" w:sz="4" w:space="0" w:color="000000"/>
              <w:bottom w:val="single" w:sz="4" w:space="0" w:color="000000"/>
              <w:right w:val="single" w:sz="4" w:space="0" w:color="000000"/>
            </w:tcBorders>
            <w:hideMark/>
          </w:tcPr>
          <w:p w14:paraId="7974E88E" w14:textId="77777777" w:rsidR="002C3333" w:rsidRDefault="002C3333">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150A9809" w14:textId="77777777" w:rsidR="002C3333" w:rsidRDefault="002C3333">
            <w:pPr>
              <w:ind w:left="6"/>
            </w:pPr>
            <w:r>
              <w:rPr>
                <w:rFonts w:ascii="Times New Roman" w:eastAsia="Times New Roman" w:hAnsi="Times New Roman" w:cs="Times New Roman"/>
                <w:sz w:val="18"/>
              </w:rPr>
              <w:t xml:space="preserve">Injected, snorted, swallowed, smoked (powder added to mint, parsley, oregano, or marijuana)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773BE7" w14:textId="77777777" w:rsidR="002C3333" w:rsidRDefault="002C3333">
            <w:pPr>
              <w:rPr>
                <w:rFonts w:ascii="Calibri" w:eastAsia="Calibri" w:hAnsi="Calibri" w:cs="Calibri"/>
                <w:color w:val="000000"/>
              </w:rPr>
            </w:pPr>
          </w:p>
        </w:tc>
      </w:tr>
      <w:tr w:rsidR="002C3333" w14:paraId="69330484" w14:textId="77777777" w:rsidTr="002C3333">
        <w:trPr>
          <w:trHeight w:val="1824"/>
        </w:trPr>
        <w:tc>
          <w:tcPr>
            <w:tcW w:w="2240" w:type="dxa"/>
            <w:tcBorders>
              <w:top w:val="single" w:sz="4" w:space="0" w:color="000000"/>
              <w:left w:val="single" w:sz="4" w:space="0" w:color="000000"/>
              <w:bottom w:val="single" w:sz="4" w:space="0" w:color="000000"/>
              <w:right w:val="single" w:sz="4" w:space="0" w:color="000000"/>
            </w:tcBorders>
            <w:hideMark/>
          </w:tcPr>
          <w:p w14:paraId="5446BABD" w14:textId="77777777" w:rsidR="002C3333" w:rsidRDefault="002C3333">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tcPr>
          <w:p w14:paraId="3876D368" w14:textId="77777777" w:rsidR="002C3333" w:rsidRDefault="002C3333">
            <w:pPr>
              <w:ind w:left="6"/>
              <w:rPr>
                <w:rFonts w:ascii="Times New Roman" w:eastAsia="Times New Roman" w:hAnsi="Times New Roman" w:cs="Times New Roman"/>
                <w:sz w:val="18"/>
              </w:rPr>
            </w:pPr>
            <w:r>
              <w:rPr>
                <w:rFonts w:ascii="Times New Roman" w:eastAsia="Times New Roman" w:hAnsi="Times New Roman" w:cs="Times New Roman"/>
                <w:sz w:val="18"/>
              </w:rPr>
              <w:t xml:space="preserve">Schedule I, II </w:t>
            </w:r>
          </w:p>
          <w:p w14:paraId="41990217" w14:textId="77777777" w:rsidR="002C3333" w:rsidRDefault="002C3333">
            <w:pPr>
              <w:ind w:left="6"/>
              <w:rPr>
                <w:rFonts w:ascii="Calibri" w:eastAsia="Calibri" w:hAnsi="Calibri" w:cs="Calibri"/>
              </w:rPr>
            </w:pPr>
          </w:p>
          <w:p w14:paraId="25F206DF" w14:textId="77777777" w:rsidR="002C3333" w:rsidRDefault="002C3333">
            <w:pPr>
              <w:ind w:left="6"/>
            </w:pPr>
          </w:p>
          <w:p w14:paraId="50FE5CAC" w14:textId="77777777" w:rsidR="002C3333" w:rsidRDefault="002C3333">
            <w:pPr>
              <w:ind w:left="6"/>
            </w:pPr>
          </w:p>
          <w:p w14:paraId="49360D26" w14:textId="77777777" w:rsidR="002C3333" w:rsidRDefault="002C3333">
            <w:pPr>
              <w:ind w:left="6"/>
            </w:pPr>
          </w:p>
          <w:p w14:paraId="39A33C67" w14:textId="77777777" w:rsidR="002C3333" w:rsidRDefault="002C3333">
            <w:pPr>
              <w:ind w:left="6"/>
            </w:pPr>
          </w:p>
          <w:p w14:paraId="46510DD7" w14:textId="77777777" w:rsidR="002C3333" w:rsidRDefault="002C3333">
            <w:pPr>
              <w:ind w:left="6"/>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8CC374" w14:textId="77777777" w:rsidR="002C3333" w:rsidRDefault="002C3333">
            <w:pPr>
              <w:rPr>
                <w:rFonts w:ascii="Calibri" w:eastAsia="Calibri" w:hAnsi="Calibri" w:cs="Calibri"/>
                <w:color w:val="000000"/>
              </w:rPr>
            </w:pPr>
          </w:p>
        </w:tc>
      </w:tr>
    </w:tbl>
    <w:p w14:paraId="654131D0" w14:textId="77777777" w:rsidR="002C3333" w:rsidRDefault="002C3333" w:rsidP="002C3333">
      <w:pPr>
        <w:spacing w:after="0"/>
        <w:ind w:left="5"/>
        <w:rPr>
          <w:rFonts w:ascii="Calibri" w:eastAsia="Calibri" w:hAnsi="Calibri" w:cs="Calibri"/>
          <w:color w:val="000000"/>
          <w:kern w:val="2"/>
          <w:sz w:val="22"/>
          <w14:ligatures w14:val="standardContextual"/>
        </w:rPr>
      </w:pPr>
      <w:r>
        <w:lastRenderedPageBreak/>
        <w:tab/>
      </w:r>
    </w:p>
    <w:tbl>
      <w:tblPr>
        <w:tblStyle w:val="TableGrid0"/>
        <w:tblW w:w="10170" w:type="dxa"/>
        <w:tblInd w:w="-5" w:type="dxa"/>
        <w:tblCellMar>
          <w:top w:w="5" w:type="dxa"/>
          <w:left w:w="11" w:type="dxa"/>
          <w:right w:w="82" w:type="dxa"/>
        </w:tblCellMar>
        <w:tblLook w:val="04A0" w:firstRow="1" w:lastRow="0" w:firstColumn="1" w:lastColumn="0" w:noHBand="0" w:noVBand="1"/>
      </w:tblPr>
      <w:tblGrid>
        <w:gridCol w:w="2240"/>
        <w:gridCol w:w="3959"/>
        <w:gridCol w:w="3971"/>
      </w:tblGrid>
      <w:tr w:rsidR="002C3333" w14:paraId="15116782" w14:textId="77777777" w:rsidTr="002C3333">
        <w:trPr>
          <w:trHeight w:val="214"/>
        </w:trPr>
        <w:tc>
          <w:tcPr>
            <w:tcW w:w="6199" w:type="dxa"/>
            <w:gridSpan w:val="2"/>
            <w:tcBorders>
              <w:top w:val="single" w:sz="4" w:space="0" w:color="000000"/>
              <w:left w:val="single" w:sz="4" w:space="0" w:color="000000"/>
              <w:bottom w:val="single" w:sz="4" w:space="0" w:color="000000"/>
              <w:right w:val="single" w:sz="4" w:space="0" w:color="000000"/>
            </w:tcBorders>
            <w:shd w:val="clear" w:color="auto" w:fill="A6B4E4" w:themeFill="text2" w:themeFillTint="40"/>
            <w:hideMark/>
          </w:tcPr>
          <w:p w14:paraId="1120EE0E" w14:textId="77777777" w:rsidR="002C3333" w:rsidRDefault="002C3333">
            <w:pPr>
              <w:ind w:left="95"/>
            </w:pPr>
            <w:r>
              <w:rPr>
                <w:rFonts w:ascii="Times New Roman" w:eastAsia="Times New Roman" w:hAnsi="Times New Roman" w:cs="Times New Roman"/>
                <w:b/>
                <w:sz w:val="18"/>
              </w:rPr>
              <w:t>Prescription Opioids</w:t>
            </w:r>
            <w:r>
              <w:rPr>
                <w:rFonts w:ascii="Times New Roman" w:eastAsia="Times New Roman" w:hAnsi="Times New Roman" w:cs="Times New Roman"/>
                <w:sz w:val="18"/>
              </w:rPr>
              <w:t xml:space="preserve"> </w:t>
            </w:r>
          </w:p>
        </w:tc>
        <w:tc>
          <w:tcPr>
            <w:tcW w:w="3971" w:type="dxa"/>
            <w:vMerge w:val="restart"/>
            <w:tcBorders>
              <w:top w:val="single" w:sz="4" w:space="0" w:color="000000"/>
              <w:left w:val="single" w:sz="4" w:space="0" w:color="000000"/>
              <w:bottom w:val="nil"/>
              <w:right w:val="single" w:sz="4" w:space="0" w:color="000000"/>
            </w:tcBorders>
            <w:hideMark/>
          </w:tcPr>
          <w:p w14:paraId="37593B5F" w14:textId="77777777" w:rsidR="002C3333" w:rsidRDefault="002C3333">
            <w:pPr>
              <w:ind w:left="102"/>
            </w:pPr>
            <w:r>
              <w:rPr>
                <w:rFonts w:ascii="Times New Roman" w:eastAsia="Times New Roman" w:hAnsi="Times New Roman" w:cs="Times New Roman"/>
                <w:b/>
                <w:sz w:val="18"/>
              </w:rPr>
              <w:t>Possible Health Effects:</w:t>
            </w:r>
            <w:r>
              <w:rPr>
                <w:rFonts w:ascii="Times New Roman" w:eastAsia="Times New Roman" w:hAnsi="Times New Roman" w:cs="Times New Roman"/>
                <w:sz w:val="18"/>
              </w:rPr>
              <w:t xml:space="preserve"> </w:t>
            </w:r>
          </w:p>
          <w:p w14:paraId="75476C66" w14:textId="77777777" w:rsidR="002C3333" w:rsidRDefault="002C3333">
            <w:pPr>
              <w:ind w:left="102"/>
            </w:pPr>
            <w:r>
              <w:rPr>
                <w:rFonts w:ascii="Times New Roman" w:eastAsia="Times New Roman" w:hAnsi="Times New Roman" w:cs="Times New Roman"/>
                <w:sz w:val="18"/>
                <w:u w:val="single" w:color="000000"/>
              </w:rPr>
              <w:t xml:space="preserve">Short-Term: </w:t>
            </w:r>
            <w:r>
              <w:rPr>
                <w:rFonts w:ascii="Times New Roman" w:eastAsia="Times New Roman" w:hAnsi="Times New Roman" w:cs="Times New Roman"/>
                <w:sz w:val="18"/>
              </w:rPr>
              <w:t xml:space="preserve">Pain relief, drowsiness, nausea, constipation, euphoria, confusion, slowed breathing, death. </w:t>
            </w:r>
          </w:p>
          <w:p w14:paraId="50166A6F" w14:textId="77777777" w:rsidR="002C3333" w:rsidRDefault="002C3333">
            <w:pPr>
              <w:ind w:left="102"/>
            </w:pPr>
            <w:r>
              <w:rPr>
                <w:rFonts w:ascii="Times New Roman" w:eastAsia="Times New Roman" w:hAnsi="Times New Roman" w:cs="Times New Roman"/>
                <w:sz w:val="18"/>
                <w:u w:val="single" w:color="000000"/>
              </w:rPr>
              <w:t xml:space="preserve">Long-Term: </w:t>
            </w:r>
            <w:r>
              <w:rPr>
                <w:rFonts w:ascii="Times New Roman" w:eastAsia="Times New Roman" w:hAnsi="Times New Roman" w:cs="Times New Roman"/>
                <w:sz w:val="18"/>
              </w:rPr>
              <w:t xml:space="preserve">Unknown. </w:t>
            </w:r>
          </w:p>
          <w:p w14:paraId="06FDF507" w14:textId="77777777" w:rsidR="002C3333" w:rsidRDefault="002C3333">
            <w:pPr>
              <w:spacing w:after="10" w:line="232" w:lineRule="auto"/>
              <w:ind w:left="102"/>
            </w:pPr>
            <w:r>
              <w:rPr>
                <w:rFonts w:ascii="Times New Roman" w:eastAsia="Times New Roman" w:hAnsi="Times New Roman" w:cs="Times New Roman"/>
                <w:sz w:val="18"/>
                <w:u w:val="single" w:color="000000"/>
              </w:rPr>
              <w:t>Other Health-Related Issues</w:t>
            </w:r>
            <w:r>
              <w:rPr>
                <w:rFonts w:ascii="Times New Roman" w:eastAsia="Times New Roman" w:hAnsi="Times New Roman" w:cs="Times New Roman"/>
                <w:sz w:val="18"/>
              </w:rPr>
              <w:t xml:space="preserve">: Pregnancy: Miscarriage, low birth weight, neonatal abstinence syndrome. </w:t>
            </w:r>
          </w:p>
          <w:p w14:paraId="57ADB2B5" w14:textId="77777777" w:rsidR="002C3333" w:rsidRDefault="002C3333">
            <w:pPr>
              <w:spacing w:after="1" w:line="237" w:lineRule="auto"/>
              <w:ind w:left="102"/>
            </w:pPr>
            <w:r>
              <w:rPr>
                <w:rFonts w:ascii="Times New Roman" w:eastAsia="Times New Roman" w:hAnsi="Times New Roman" w:cs="Times New Roman"/>
                <w:sz w:val="18"/>
              </w:rPr>
              <w:t xml:space="preserve">Older adults: higher risk of accidental misuse or abuse because many older adults have multiple prescriptions, increasing the risk of drug-drug interactions, and breakdown of drugs slows with age; also, many older adults are treated with prescription medications for pain. </w:t>
            </w:r>
          </w:p>
          <w:p w14:paraId="3DADA731" w14:textId="77777777" w:rsidR="002C3333" w:rsidRDefault="002C3333">
            <w:pPr>
              <w:ind w:left="102" w:right="218"/>
              <w:jc w:val="both"/>
            </w:pPr>
            <w:r>
              <w:rPr>
                <w:rFonts w:ascii="Times New Roman" w:eastAsia="Times New Roman" w:hAnsi="Times New Roman" w:cs="Times New Roman"/>
                <w:sz w:val="18"/>
              </w:rPr>
              <w:t xml:space="preserve">Risk of HIV, hepatitis, and other infectious diseases from shared needles. In combination with alcohol, dangerous slowing of heart rate and breathing leading to coma and death. Withdrawal symptoms include restlessness, muscle and bone pain, insomnia, diarrhea, vomiting, cold flashes and other symptoms </w:t>
            </w:r>
          </w:p>
          <w:p w14:paraId="49F3C9AF" w14:textId="77777777" w:rsidR="002C3333" w:rsidRDefault="002C3333">
            <w:r>
              <w:rPr>
                <w:sz w:val="20"/>
              </w:rPr>
              <w:tab/>
            </w:r>
          </w:p>
          <w:p w14:paraId="288D11F9" w14:textId="77777777" w:rsidR="002C3333" w:rsidRDefault="002C3333">
            <w:r>
              <w:rPr>
                <w:sz w:val="20"/>
              </w:rPr>
              <w:tab/>
            </w:r>
          </w:p>
          <w:p w14:paraId="46F7374D" w14:textId="77777777" w:rsidR="002C3333" w:rsidRDefault="002C3333">
            <w:pPr>
              <w:ind w:left="102"/>
            </w:pPr>
            <w:r>
              <w:rPr>
                <w:rFonts w:ascii="Times New Roman" w:eastAsia="Times New Roman" w:hAnsi="Times New Roman" w:cs="Times New Roman"/>
                <w:b/>
                <w:sz w:val="18"/>
              </w:rPr>
              <w:t xml:space="preserve"> </w:t>
            </w:r>
            <w:r>
              <w:rPr>
                <w:rFonts w:ascii="Times New Roman" w:eastAsia="Times New Roman" w:hAnsi="Times New Roman" w:cs="Times New Roman"/>
                <w:sz w:val="18"/>
              </w:rPr>
              <w:t xml:space="preserve"> </w:t>
            </w:r>
          </w:p>
        </w:tc>
      </w:tr>
      <w:tr w:rsidR="002C3333" w14:paraId="2FC7CCB7" w14:textId="77777777" w:rsidTr="002C3333">
        <w:trPr>
          <w:trHeight w:val="635"/>
        </w:trPr>
        <w:tc>
          <w:tcPr>
            <w:tcW w:w="2240" w:type="dxa"/>
            <w:tcBorders>
              <w:top w:val="single" w:sz="4" w:space="0" w:color="000000"/>
              <w:left w:val="single" w:sz="4" w:space="0" w:color="000000"/>
              <w:bottom w:val="single" w:sz="4" w:space="0" w:color="000000"/>
              <w:right w:val="single" w:sz="4" w:space="0" w:color="000000"/>
            </w:tcBorders>
            <w:hideMark/>
          </w:tcPr>
          <w:p w14:paraId="57BC943B" w14:textId="77777777" w:rsidR="002C3333" w:rsidRDefault="002C3333">
            <w:pPr>
              <w:ind w:left="95"/>
            </w:pPr>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788F8980" w14:textId="77777777" w:rsidR="002C3333" w:rsidRDefault="002C3333">
            <w:pPr>
              <w:ind w:left="101"/>
            </w:pPr>
            <w:r>
              <w:rPr>
                <w:rFonts w:ascii="Times New Roman" w:eastAsia="Times New Roman" w:hAnsi="Times New Roman" w:cs="Times New Roman"/>
                <w:sz w:val="18"/>
              </w:rPr>
              <w:t xml:space="preserve">Captain Cody, Cody, Lean, Schoolboy, Sizzurp, </w:t>
            </w:r>
          </w:p>
          <w:p w14:paraId="359AED2F" w14:textId="77777777" w:rsidR="002C3333" w:rsidRDefault="002C3333">
            <w:pPr>
              <w:ind w:left="101"/>
            </w:pPr>
            <w:r>
              <w:rPr>
                <w:rFonts w:ascii="Times New Roman" w:eastAsia="Times New Roman" w:hAnsi="Times New Roman" w:cs="Times New Roman"/>
                <w:sz w:val="18"/>
              </w:rPr>
              <w:t xml:space="preserve">Purple Drank with glutethimide: Doors &amp; Fours, Loads, Pancakes and Syrup </w:t>
            </w:r>
          </w:p>
        </w:tc>
        <w:tc>
          <w:tcPr>
            <w:tcW w:w="0" w:type="auto"/>
            <w:vMerge/>
            <w:tcBorders>
              <w:top w:val="single" w:sz="4" w:space="0" w:color="000000"/>
              <w:left w:val="single" w:sz="4" w:space="0" w:color="000000"/>
              <w:bottom w:val="nil"/>
              <w:right w:val="single" w:sz="4" w:space="0" w:color="000000"/>
            </w:tcBorders>
            <w:vAlign w:val="center"/>
            <w:hideMark/>
          </w:tcPr>
          <w:p w14:paraId="1389FD51" w14:textId="77777777" w:rsidR="002C3333" w:rsidRDefault="002C3333">
            <w:pPr>
              <w:rPr>
                <w:rFonts w:ascii="Calibri" w:eastAsia="Calibri" w:hAnsi="Calibri" w:cs="Calibri"/>
                <w:color w:val="000000"/>
              </w:rPr>
            </w:pPr>
          </w:p>
        </w:tc>
      </w:tr>
      <w:tr w:rsidR="002C3333" w14:paraId="066DC764"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1F055C7A" w14:textId="77777777" w:rsidR="002C3333" w:rsidRDefault="002C3333">
            <w:pPr>
              <w:ind w:left="95"/>
            </w:pPr>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2BB97F8D" w14:textId="77777777" w:rsidR="002C3333" w:rsidRDefault="002C3333">
            <w:pPr>
              <w:ind w:left="101"/>
            </w:pPr>
            <w:r>
              <w:rPr>
                <w:rFonts w:ascii="Times New Roman" w:eastAsia="Times New Roman" w:hAnsi="Times New Roman" w:cs="Times New Roman"/>
                <w:sz w:val="18"/>
              </w:rPr>
              <w:t xml:space="preserve">Codeine (various brand names) </w:t>
            </w:r>
          </w:p>
        </w:tc>
        <w:tc>
          <w:tcPr>
            <w:tcW w:w="0" w:type="auto"/>
            <w:vMerge/>
            <w:tcBorders>
              <w:top w:val="single" w:sz="4" w:space="0" w:color="000000"/>
              <w:left w:val="single" w:sz="4" w:space="0" w:color="000000"/>
              <w:bottom w:val="nil"/>
              <w:right w:val="single" w:sz="4" w:space="0" w:color="000000"/>
            </w:tcBorders>
            <w:vAlign w:val="center"/>
            <w:hideMark/>
          </w:tcPr>
          <w:p w14:paraId="065F05CA" w14:textId="77777777" w:rsidR="002C3333" w:rsidRDefault="002C3333">
            <w:pPr>
              <w:rPr>
                <w:rFonts w:ascii="Calibri" w:eastAsia="Calibri" w:hAnsi="Calibri" w:cs="Calibri"/>
                <w:color w:val="000000"/>
              </w:rPr>
            </w:pPr>
          </w:p>
        </w:tc>
      </w:tr>
      <w:tr w:rsidR="002C3333" w14:paraId="7AF1DC21"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3C86F2DD" w14:textId="77777777" w:rsidR="002C3333" w:rsidRDefault="002C3333">
            <w:pPr>
              <w:ind w:left="95"/>
            </w:pPr>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201FD038" w14:textId="77777777" w:rsidR="002C3333" w:rsidRDefault="002C3333">
            <w:pPr>
              <w:ind w:left="101"/>
            </w:pPr>
            <w:r>
              <w:rPr>
                <w:rFonts w:ascii="Times New Roman" w:eastAsia="Times New Roman" w:hAnsi="Times New Roman" w:cs="Times New Roman"/>
                <w:sz w:val="18"/>
              </w:rPr>
              <w:t xml:space="preserve">Tablet, capsule, liquid </w:t>
            </w:r>
          </w:p>
        </w:tc>
        <w:tc>
          <w:tcPr>
            <w:tcW w:w="0" w:type="auto"/>
            <w:vMerge/>
            <w:tcBorders>
              <w:top w:val="single" w:sz="4" w:space="0" w:color="000000"/>
              <w:left w:val="single" w:sz="4" w:space="0" w:color="000000"/>
              <w:bottom w:val="nil"/>
              <w:right w:val="single" w:sz="4" w:space="0" w:color="000000"/>
            </w:tcBorders>
            <w:vAlign w:val="center"/>
            <w:hideMark/>
          </w:tcPr>
          <w:p w14:paraId="7F83B634" w14:textId="77777777" w:rsidR="002C3333" w:rsidRDefault="002C3333">
            <w:pPr>
              <w:rPr>
                <w:rFonts w:ascii="Calibri" w:eastAsia="Calibri" w:hAnsi="Calibri" w:cs="Calibri"/>
                <w:color w:val="000000"/>
              </w:rPr>
            </w:pPr>
          </w:p>
        </w:tc>
      </w:tr>
      <w:tr w:rsidR="002C3333" w14:paraId="3DC9C2C1" w14:textId="77777777" w:rsidTr="002C3333">
        <w:trPr>
          <w:trHeight w:val="427"/>
        </w:trPr>
        <w:tc>
          <w:tcPr>
            <w:tcW w:w="2240" w:type="dxa"/>
            <w:tcBorders>
              <w:top w:val="single" w:sz="4" w:space="0" w:color="000000"/>
              <w:left w:val="single" w:sz="4" w:space="0" w:color="000000"/>
              <w:bottom w:val="single" w:sz="4" w:space="0" w:color="000000"/>
              <w:right w:val="single" w:sz="4" w:space="0" w:color="000000"/>
            </w:tcBorders>
            <w:hideMark/>
          </w:tcPr>
          <w:p w14:paraId="2B96C5EA" w14:textId="77777777" w:rsidR="002C3333" w:rsidRDefault="002C3333">
            <w:pPr>
              <w:ind w:left="95"/>
            </w:pPr>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52337973" w14:textId="77777777" w:rsidR="002C3333" w:rsidRDefault="002C3333">
            <w:pPr>
              <w:ind w:left="101"/>
            </w:pPr>
            <w:r>
              <w:rPr>
                <w:rFonts w:ascii="Times New Roman" w:eastAsia="Times New Roman" w:hAnsi="Times New Roman" w:cs="Times New Roman"/>
                <w:sz w:val="18"/>
              </w:rPr>
              <w:t xml:space="preserve">Injected, swallowed (often mixed with soda and flavorings) </w:t>
            </w:r>
          </w:p>
        </w:tc>
        <w:tc>
          <w:tcPr>
            <w:tcW w:w="0" w:type="auto"/>
            <w:vMerge/>
            <w:tcBorders>
              <w:top w:val="single" w:sz="4" w:space="0" w:color="000000"/>
              <w:left w:val="single" w:sz="4" w:space="0" w:color="000000"/>
              <w:bottom w:val="nil"/>
              <w:right w:val="single" w:sz="4" w:space="0" w:color="000000"/>
            </w:tcBorders>
            <w:vAlign w:val="center"/>
            <w:hideMark/>
          </w:tcPr>
          <w:p w14:paraId="1BC709A5" w14:textId="77777777" w:rsidR="002C3333" w:rsidRDefault="002C3333">
            <w:pPr>
              <w:rPr>
                <w:rFonts w:ascii="Calibri" w:eastAsia="Calibri" w:hAnsi="Calibri" w:cs="Calibri"/>
                <w:color w:val="000000"/>
              </w:rPr>
            </w:pPr>
          </w:p>
        </w:tc>
      </w:tr>
      <w:tr w:rsidR="002C3333" w14:paraId="689F79E1" w14:textId="77777777" w:rsidTr="002C3333">
        <w:trPr>
          <w:trHeight w:val="217"/>
        </w:trPr>
        <w:tc>
          <w:tcPr>
            <w:tcW w:w="2240" w:type="dxa"/>
            <w:tcBorders>
              <w:top w:val="single" w:sz="4" w:space="0" w:color="000000"/>
              <w:left w:val="single" w:sz="4" w:space="0" w:color="000000"/>
              <w:bottom w:val="single" w:sz="4" w:space="0" w:color="000000"/>
              <w:right w:val="single" w:sz="4" w:space="0" w:color="000000"/>
            </w:tcBorders>
            <w:hideMark/>
          </w:tcPr>
          <w:p w14:paraId="0041285B" w14:textId="77777777" w:rsidR="002C3333" w:rsidRDefault="002C3333">
            <w:pPr>
              <w:ind w:left="95"/>
            </w:pPr>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5EB5CE0C" w14:textId="77777777" w:rsidR="002C3333" w:rsidRDefault="002C3333">
            <w:pPr>
              <w:ind w:left="101"/>
            </w:pPr>
            <w:r>
              <w:rPr>
                <w:rFonts w:ascii="Times New Roman" w:eastAsia="Times New Roman" w:hAnsi="Times New Roman" w:cs="Times New Roman"/>
                <w:sz w:val="18"/>
              </w:rPr>
              <w:t xml:space="preserve">Schedule II, III, V </w:t>
            </w:r>
          </w:p>
        </w:tc>
        <w:tc>
          <w:tcPr>
            <w:tcW w:w="0" w:type="auto"/>
            <w:vMerge/>
            <w:tcBorders>
              <w:top w:val="single" w:sz="4" w:space="0" w:color="000000"/>
              <w:left w:val="single" w:sz="4" w:space="0" w:color="000000"/>
              <w:bottom w:val="nil"/>
              <w:right w:val="single" w:sz="4" w:space="0" w:color="000000"/>
            </w:tcBorders>
            <w:vAlign w:val="center"/>
            <w:hideMark/>
          </w:tcPr>
          <w:p w14:paraId="7FAE9BE4" w14:textId="77777777" w:rsidR="002C3333" w:rsidRDefault="002C3333">
            <w:pPr>
              <w:rPr>
                <w:rFonts w:ascii="Calibri" w:eastAsia="Calibri" w:hAnsi="Calibri" w:cs="Calibri"/>
                <w:color w:val="000000"/>
              </w:rPr>
            </w:pPr>
          </w:p>
        </w:tc>
      </w:tr>
      <w:tr w:rsidR="002C3333" w14:paraId="54E6A73E" w14:textId="77777777" w:rsidTr="002C3333">
        <w:trPr>
          <w:trHeight w:val="214"/>
        </w:trPr>
        <w:tc>
          <w:tcPr>
            <w:tcW w:w="6199" w:type="dxa"/>
            <w:gridSpan w:val="2"/>
            <w:tcBorders>
              <w:top w:val="single" w:sz="4" w:space="0" w:color="000000"/>
              <w:left w:val="single" w:sz="4" w:space="0" w:color="000000"/>
              <w:bottom w:val="single" w:sz="4" w:space="0" w:color="000000"/>
              <w:right w:val="single" w:sz="4" w:space="0" w:color="000000"/>
            </w:tcBorders>
            <w:shd w:val="clear" w:color="auto" w:fill="E7E6E6"/>
            <w:hideMark/>
          </w:tcPr>
          <w:p w14:paraId="491396E9" w14:textId="77777777" w:rsidR="002C3333" w:rsidRDefault="002C3333">
            <w:pPr>
              <w:ind w:left="95"/>
            </w:pPr>
            <w:r>
              <w:rPr>
                <w:rFonts w:ascii="Times New Roman" w:eastAsia="Times New Roman" w:hAnsi="Times New Roman" w:cs="Times New Roman"/>
                <w:b/>
                <w:sz w:val="18"/>
              </w:rPr>
              <w:t>Prescription Opioids (continued)</w:t>
            </w:r>
            <w:r>
              <w:rPr>
                <w:rFonts w:ascii="Times New Roman" w:eastAsia="Times New Roman" w:hAnsi="Times New Roman" w:cs="Times New Roman"/>
                <w:sz w:val="18"/>
              </w:rPr>
              <w:t xml:space="preserve"> </w:t>
            </w:r>
          </w:p>
        </w:tc>
        <w:tc>
          <w:tcPr>
            <w:tcW w:w="0" w:type="auto"/>
            <w:vMerge/>
            <w:tcBorders>
              <w:top w:val="single" w:sz="4" w:space="0" w:color="000000"/>
              <w:left w:val="single" w:sz="4" w:space="0" w:color="000000"/>
              <w:bottom w:val="nil"/>
              <w:right w:val="single" w:sz="4" w:space="0" w:color="000000"/>
            </w:tcBorders>
            <w:vAlign w:val="center"/>
            <w:hideMark/>
          </w:tcPr>
          <w:p w14:paraId="0F91513F" w14:textId="77777777" w:rsidR="002C3333" w:rsidRDefault="002C3333">
            <w:pPr>
              <w:rPr>
                <w:rFonts w:ascii="Calibri" w:eastAsia="Calibri" w:hAnsi="Calibri" w:cs="Calibri"/>
                <w:color w:val="000000"/>
              </w:rPr>
            </w:pPr>
          </w:p>
        </w:tc>
      </w:tr>
      <w:tr w:rsidR="002C3333" w14:paraId="486B24C8" w14:textId="77777777" w:rsidTr="002C3333">
        <w:trPr>
          <w:trHeight w:val="630"/>
        </w:trPr>
        <w:tc>
          <w:tcPr>
            <w:tcW w:w="2240" w:type="dxa"/>
            <w:tcBorders>
              <w:top w:val="single" w:sz="4" w:space="0" w:color="000000"/>
              <w:left w:val="single" w:sz="4" w:space="0" w:color="000000"/>
              <w:bottom w:val="single" w:sz="4" w:space="0" w:color="000000"/>
              <w:right w:val="single" w:sz="4" w:space="0" w:color="000000"/>
            </w:tcBorders>
            <w:hideMark/>
          </w:tcPr>
          <w:p w14:paraId="2FAAC8B2" w14:textId="77777777" w:rsidR="002C3333" w:rsidRDefault="002C3333">
            <w:pPr>
              <w:ind w:left="95"/>
            </w:pPr>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45E21FF8" w14:textId="77777777" w:rsidR="002C3333" w:rsidRDefault="002C3333">
            <w:pPr>
              <w:ind w:left="101"/>
            </w:pPr>
            <w:r>
              <w:rPr>
                <w:rFonts w:ascii="Times New Roman" w:eastAsia="Times New Roman" w:hAnsi="Times New Roman" w:cs="Times New Roman"/>
                <w:sz w:val="18"/>
              </w:rPr>
              <w:t xml:space="preserve">Apache, China Girl, China White, Dance Fever, </w:t>
            </w:r>
          </w:p>
          <w:p w14:paraId="0EF135A1" w14:textId="77777777" w:rsidR="002C3333" w:rsidRDefault="002C3333">
            <w:pPr>
              <w:ind w:left="101"/>
            </w:pPr>
            <w:r>
              <w:rPr>
                <w:rFonts w:ascii="Times New Roman" w:eastAsia="Times New Roman" w:hAnsi="Times New Roman" w:cs="Times New Roman"/>
                <w:sz w:val="18"/>
              </w:rPr>
              <w:t xml:space="preserve">Friend, Goodfella, Jackpot, Murder 8, Tango and Cash, TN </w:t>
            </w:r>
          </w:p>
        </w:tc>
        <w:tc>
          <w:tcPr>
            <w:tcW w:w="0" w:type="auto"/>
            <w:vMerge/>
            <w:tcBorders>
              <w:top w:val="single" w:sz="4" w:space="0" w:color="000000"/>
              <w:left w:val="single" w:sz="4" w:space="0" w:color="000000"/>
              <w:bottom w:val="nil"/>
              <w:right w:val="single" w:sz="4" w:space="0" w:color="000000"/>
            </w:tcBorders>
            <w:vAlign w:val="center"/>
            <w:hideMark/>
          </w:tcPr>
          <w:p w14:paraId="56A30E5F" w14:textId="77777777" w:rsidR="002C3333" w:rsidRDefault="002C3333">
            <w:pPr>
              <w:rPr>
                <w:rFonts w:ascii="Calibri" w:eastAsia="Calibri" w:hAnsi="Calibri" w:cs="Calibri"/>
                <w:color w:val="000000"/>
              </w:rPr>
            </w:pPr>
          </w:p>
        </w:tc>
      </w:tr>
      <w:tr w:rsidR="002C3333" w14:paraId="6976C1E7"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516EF76E" w14:textId="77777777" w:rsidR="002C3333" w:rsidRDefault="002C3333">
            <w:pPr>
              <w:ind w:left="95"/>
            </w:pPr>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29170A95" w14:textId="77777777" w:rsidR="002C3333" w:rsidRDefault="002C3333">
            <w:pPr>
              <w:ind w:left="101"/>
            </w:pPr>
            <w:r>
              <w:rPr>
                <w:rFonts w:ascii="Times New Roman" w:eastAsia="Times New Roman" w:hAnsi="Times New Roman" w:cs="Times New Roman"/>
                <w:sz w:val="18"/>
              </w:rPr>
              <w:t xml:space="preserve">Fentanyl (Actiq®, Duragesic®, Sublimaze®) </w:t>
            </w:r>
          </w:p>
        </w:tc>
        <w:tc>
          <w:tcPr>
            <w:tcW w:w="0" w:type="auto"/>
            <w:vMerge/>
            <w:tcBorders>
              <w:top w:val="single" w:sz="4" w:space="0" w:color="000000"/>
              <w:left w:val="single" w:sz="4" w:space="0" w:color="000000"/>
              <w:bottom w:val="nil"/>
              <w:right w:val="single" w:sz="4" w:space="0" w:color="000000"/>
            </w:tcBorders>
            <w:vAlign w:val="center"/>
            <w:hideMark/>
          </w:tcPr>
          <w:p w14:paraId="73FDC4E0" w14:textId="77777777" w:rsidR="002C3333" w:rsidRDefault="002C3333">
            <w:pPr>
              <w:rPr>
                <w:rFonts w:ascii="Calibri" w:eastAsia="Calibri" w:hAnsi="Calibri" w:cs="Calibri"/>
                <w:color w:val="000000"/>
              </w:rPr>
            </w:pPr>
          </w:p>
        </w:tc>
      </w:tr>
      <w:tr w:rsidR="002C3333" w14:paraId="22198FDA" w14:textId="77777777" w:rsidTr="002C3333">
        <w:trPr>
          <w:trHeight w:val="221"/>
        </w:trPr>
        <w:tc>
          <w:tcPr>
            <w:tcW w:w="2240" w:type="dxa"/>
            <w:tcBorders>
              <w:top w:val="single" w:sz="4" w:space="0" w:color="000000"/>
              <w:left w:val="single" w:sz="4" w:space="0" w:color="000000"/>
              <w:bottom w:val="single" w:sz="4" w:space="0" w:color="000000"/>
              <w:right w:val="single" w:sz="4" w:space="0" w:color="000000"/>
            </w:tcBorders>
            <w:hideMark/>
          </w:tcPr>
          <w:p w14:paraId="0BF9B6EE" w14:textId="77777777" w:rsidR="002C3333" w:rsidRDefault="002C3333">
            <w:pPr>
              <w:ind w:left="95"/>
            </w:pPr>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05EB6D2E" w14:textId="77777777" w:rsidR="002C3333" w:rsidRDefault="002C3333">
            <w:pPr>
              <w:ind w:left="101"/>
            </w:pPr>
            <w:r>
              <w:rPr>
                <w:rFonts w:ascii="Times New Roman" w:eastAsia="Times New Roman" w:hAnsi="Times New Roman" w:cs="Times New Roman"/>
                <w:sz w:val="18"/>
              </w:rPr>
              <w:t xml:space="preserve">Lozenge, sublingual tablet, film, buccal tablet </w:t>
            </w:r>
          </w:p>
        </w:tc>
        <w:tc>
          <w:tcPr>
            <w:tcW w:w="0" w:type="auto"/>
            <w:vMerge/>
            <w:tcBorders>
              <w:top w:val="single" w:sz="4" w:space="0" w:color="000000"/>
              <w:left w:val="single" w:sz="4" w:space="0" w:color="000000"/>
              <w:bottom w:val="nil"/>
              <w:right w:val="single" w:sz="4" w:space="0" w:color="000000"/>
            </w:tcBorders>
            <w:vAlign w:val="center"/>
            <w:hideMark/>
          </w:tcPr>
          <w:p w14:paraId="33C83156" w14:textId="77777777" w:rsidR="002C3333" w:rsidRDefault="002C3333">
            <w:pPr>
              <w:rPr>
                <w:rFonts w:ascii="Calibri" w:eastAsia="Calibri" w:hAnsi="Calibri" w:cs="Calibri"/>
                <w:color w:val="000000"/>
              </w:rPr>
            </w:pPr>
          </w:p>
        </w:tc>
      </w:tr>
      <w:tr w:rsidR="002C3333" w14:paraId="013D4442"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49B06F58" w14:textId="77777777" w:rsidR="002C3333" w:rsidRDefault="002C3333">
            <w:pPr>
              <w:ind w:left="95"/>
            </w:pPr>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10AC51F2" w14:textId="77777777" w:rsidR="002C3333" w:rsidRDefault="002C3333">
            <w:pPr>
              <w:ind w:left="101"/>
            </w:pPr>
            <w:r>
              <w:rPr>
                <w:rFonts w:ascii="Times New Roman" w:eastAsia="Times New Roman" w:hAnsi="Times New Roman" w:cs="Times New Roman"/>
                <w:sz w:val="18"/>
              </w:rPr>
              <w:t xml:space="preserve">Injected, smoked, snorted </w:t>
            </w:r>
          </w:p>
        </w:tc>
        <w:tc>
          <w:tcPr>
            <w:tcW w:w="0" w:type="auto"/>
            <w:vMerge/>
            <w:tcBorders>
              <w:top w:val="single" w:sz="4" w:space="0" w:color="000000"/>
              <w:left w:val="single" w:sz="4" w:space="0" w:color="000000"/>
              <w:bottom w:val="nil"/>
              <w:right w:val="single" w:sz="4" w:space="0" w:color="000000"/>
            </w:tcBorders>
            <w:vAlign w:val="center"/>
            <w:hideMark/>
          </w:tcPr>
          <w:p w14:paraId="3DD075A0" w14:textId="77777777" w:rsidR="002C3333" w:rsidRDefault="002C3333">
            <w:pPr>
              <w:rPr>
                <w:rFonts w:ascii="Calibri" w:eastAsia="Calibri" w:hAnsi="Calibri" w:cs="Calibri"/>
                <w:color w:val="000000"/>
              </w:rPr>
            </w:pPr>
          </w:p>
        </w:tc>
      </w:tr>
      <w:tr w:rsidR="002C3333" w14:paraId="4E93AE40" w14:textId="77777777" w:rsidTr="002C3333">
        <w:trPr>
          <w:trHeight w:val="217"/>
        </w:trPr>
        <w:tc>
          <w:tcPr>
            <w:tcW w:w="2240" w:type="dxa"/>
            <w:tcBorders>
              <w:top w:val="single" w:sz="4" w:space="0" w:color="000000"/>
              <w:left w:val="single" w:sz="4" w:space="0" w:color="000000"/>
              <w:bottom w:val="single" w:sz="4" w:space="0" w:color="000000"/>
              <w:right w:val="single" w:sz="4" w:space="0" w:color="000000"/>
            </w:tcBorders>
            <w:hideMark/>
          </w:tcPr>
          <w:p w14:paraId="2670563E" w14:textId="77777777" w:rsidR="002C3333" w:rsidRDefault="002C3333">
            <w:pPr>
              <w:ind w:left="95"/>
            </w:pPr>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3EA96031" w14:textId="77777777" w:rsidR="002C3333" w:rsidRDefault="002C3333">
            <w:pPr>
              <w:ind w:left="101"/>
            </w:pPr>
            <w:r>
              <w:rPr>
                <w:rFonts w:ascii="Times New Roman" w:eastAsia="Times New Roman" w:hAnsi="Times New Roman" w:cs="Times New Roman"/>
                <w:sz w:val="18"/>
              </w:rPr>
              <w:t xml:space="preserve">Schedule II </w:t>
            </w:r>
          </w:p>
        </w:tc>
        <w:tc>
          <w:tcPr>
            <w:tcW w:w="0" w:type="auto"/>
            <w:vMerge/>
            <w:tcBorders>
              <w:top w:val="single" w:sz="4" w:space="0" w:color="000000"/>
              <w:left w:val="single" w:sz="4" w:space="0" w:color="000000"/>
              <w:bottom w:val="nil"/>
              <w:right w:val="single" w:sz="4" w:space="0" w:color="000000"/>
            </w:tcBorders>
            <w:vAlign w:val="center"/>
            <w:hideMark/>
          </w:tcPr>
          <w:p w14:paraId="02DC0AB7" w14:textId="77777777" w:rsidR="002C3333" w:rsidRDefault="002C3333">
            <w:pPr>
              <w:rPr>
                <w:rFonts w:ascii="Calibri" w:eastAsia="Calibri" w:hAnsi="Calibri" w:cs="Calibri"/>
                <w:color w:val="000000"/>
              </w:rPr>
            </w:pPr>
          </w:p>
        </w:tc>
      </w:tr>
      <w:tr w:rsidR="002C3333" w14:paraId="4792805B" w14:textId="77777777" w:rsidTr="002C3333">
        <w:trPr>
          <w:trHeight w:val="214"/>
        </w:trPr>
        <w:tc>
          <w:tcPr>
            <w:tcW w:w="6199" w:type="dxa"/>
            <w:gridSpan w:val="2"/>
            <w:tcBorders>
              <w:top w:val="single" w:sz="4" w:space="0" w:color="000000"/>
              <w:left w:val="single" w:sz="4" w:space="0" w:color="000000"/>
              <w:bottom w:val="single" w:sz="4" w:space="0" w:color="000000"/>
              <w:right w:val="single" w:sz="4" w:space="0" w:color="000000"/>
            </w:tcBorders>
            <w:shd w:val="clear" w:color="auto" w:fill="E7E6E6"/>
            <w:hideMark/>
          </w:tcPr>
          <w:p w14:paraId="1290A7B2" w14:textId="77777777" w:rsidR="002C3333" w:rsidRDefault="002C3333">
            <w:pPr>
              <w:ind w:left="95"/>
            </w:pPr>
            <w:r>
              <w:rPr>
                <w:rFonts w:ascii="Times New Roman" w:eastAsia="Times New Roman" w:hAnsi="Times New Roman" w:cs="Times New Roman"/>
                <w:b/>
                <w:sz w:val="18"/>
              </w:rPr>
              <w:t>Prescription Opioids (continued)</w:t>
            </w:r>
            <w:r>
              <w:rPr>
                <w:rFonts w:ascii="Times New Roman" w:eastAsia="Times New Roman" w:hAnsi="Times New Roman" w:cs="Times New Roman"/>
                <w:sz w:val="18"/>
              </w:rPr>
              <w:t xml:space="preserve"> </w:t>
            </w:r>
          </w:p>
        </w:tc>
        <w:tc>
          <w:tcPr>
            <w:tcW w:w="0" w:type="auto"/>
            <w:vMerge/>
            <w:tcBorders>
              <w:top w:val="single" w:sz="4" w:space="0" w:color="000000"/>
              <w:left w:val="single" w:sz="4" w:space="0" w:color="000000"/>
              <w:bottom w:val="nil"/>
              <w:right w:val="single" w:sz="4" w:space="0" w:color="000000"/>
            </w:tcBorders>
            <w:vAlign w:val="center"/>
            <w:hideMark/>
          </w:tcPr>
          <w:p w14:paraId="527E04FF" w14:textId="77777777" w:rsidR="002C3333" w:rsidRDefault="002C3333">
            <w:pPr>
              <w:rPr>
                <w:rFonts w:ascii="Calibri" w:eastAsia="Calibri" w:hAnsi="Calibri" w:cs="Calibri"/>
                <w:color w:val="000000"/>
              </w:rPr>
            </w:pPr>
          </w:p>
        </w:tc>
      </w:tr>
      <w:tr w:rsidR="002C3333" w14:paraId="51F14701" w14:textId="77777777" w:rsidTr="002C3333">
        <w:trPr>
          <w:trHeight w:val="217"/>
        </w:trPr>
        <w:tc>
          <w:tcPr>
            <w:tcW w:w="2240" w:type="dxa"/>
            <w:tcBorders>
              <w:top w:val="single" w:sz="4" w:space="0" w:color="000000"/>
              <w:left w:val="single" w:sz="4" w:space="0" w:color="000000"/>
              <w:bottom w:val="single" w:sz="4" w:space="0" w:color="000000"/>
              <w:right w:val="single" w:sz="4" w:space="0" w:color="000000"/>
            </w:tcBorders>
            <w:hideMark/>
          </w:tcPr>
          <w:p w14:paraId="5A52F51B" w14:textId="77777777" w:rsidR="002C3333" w:rsidRDefault="002C3333">
            <w:pPr>
              <w:ind w:left="95"/>
            </w:pPr>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3B91E2AD" w14:textId="77777777" w:rsidR="002C3333" w:rsidRDefault="002C3333">
            <w:pPr>
              <w:ind w:left="101"/>
            </w:pPr>
            <w:r>
              <w:rPr>
                <w:rFonts w:ascii="Times New Roman" w:eastAsia="Times New Roman" w:hAnsi="Times New Roman" w:cs="Times New Roman"/>
                <w:sz w:val="18"/>
              </w:rPr>
              <w:t xml:space="preserve">Vike, Watson-387 </w:t>
            </w:r>
          </w:p>
        </w:tc>
        <w:tc>
          <w:tcPr>
            <w:tcW w:w="0" w:type="auto"/>
            <w:vMerge/>
            <w:tcBorders>
              <w:top w:val="single" w:sz="4" w:space="0" w:color="000000"/>
              <w:left w:val="single" w:sz="4" w:space="0" w:color="000000"/>
              <w:bottom w:val="nil"/>
              <w:right w:val="single" w:sz="4" w:space="0" w:color="000000"/>
            </w:tcBorders>
            <w:vAlign w:val="center"/>
            <w:hideMark/>
          </w:tcPr>
          <w:p w14:paraId="66B1E6D4" w14:textId="77777777" w:rsidR="002C3333" w:rsidRDefault="002C3333">
            <w:pPr>
              <w:rPr>
                <w:rFonts w:ascii="Calibri" w:eastAsia="Calibri" w:hAnsi="Calibri" w:cs="Calibri"/>
                <w:color w:val="000000"/>
              </w:rPr>
            </w:pPr>
          </w:p>
        </w:tc>
      </w:tr>
      <w:tr w:rsidR="002C3333" w14:paraId="296BA646" w14:textId="77777777" w:rsidTr="002C3333">
        <w:trPr>
          <w:trHeight w:val="427"/>
        </w:trPr>
        <w:tc>
          <w:tcPr>
            <w:tcW w:w="2240" w:type="dxa"/>
            <w:tcBorders>
              <w:top w:val="single" w:sz="4" w:space="0" w:color="000000"/>
              <w:left w:val="single" w:sz="4" w:space="0" w:color="000000"/>
              <w:bottom w:val="single" w:sz="4" w:space="0" w:color="000000"/>
              <w:right w:val="single" w:sz="4" w:space="0" w:color="000000"/>
            </w:tcBorders>
            <w:hideMark/>
          </w:tcPr>
          <w:p w14:paraId="303DD219" w14:textId="77777777" w:rsidR="002C3333" w:rsidRDefault="002C3333">
            <w:pPr>
              <w:ind w:left="95"/>
            </w:pPr>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4EB1CFAA" w14:textId="77777777" w:rsidR="002C3333" w:rsidRDefault="002C3333">
            <w:pPr>
              <w:ind w:left="101"/>
            </w:pPr>
            <w:r>
              <w:rPr>
                <w:rFonts w:ascii="Times New Roman" w:eastAsia="Times New Roman" w:hAnsi="Times New Roman" w:cs="Times New Roman"/>
                <w:sz w:val="18"/>
              </w:rPr>
              <w:t xml:space="preserve">Hydrocodone or dihydrocodeinone (Vicodin®, Lortab®, Lorcet®, and others) </w:t>
            </w:r>
          </w:p>
        </w:tc>
        <w:tc>
          <w:tcPr>
            <w:tcW w:w="0" w:type="auto"/>
            <w:vMerge/>
            <w:tcBorders>
              <w:top w:val="single" w:sz="4" w:space="0" w:color="000000"/>
              <w:left w:val="single" w:sz="4" w:space="0" w:color="000000"/>
              <w:bottom w:val="nil"/>
              <w:right w:val="single" w:sz="4" w:space="0" w:color="000000"/>
            </w:tcBorders>
            <w:vAlign w:val="center"/>
            <w:hideMark/>
          </w:tcPr>
          <w:p w14:paraId="16788AA5" w14:textId="77777777" w:rsidR="002C3333" w:rsidRDefault="002C3333">
            <w:pPr>
              <w:rPr>
                <w:rFonts w:ascii="Calibri" w:eastAsia="Calibri" w:hAnsi="Calibri" w:cs="Calibri"/>
                <w:color w:val="000000"/>
              </w:rPr>
            </w:pPr>
          </w:p>
        </w:tc>
      </w:tr>
      <w:tr w:rsidR="002C3333" w14:paraId="48590999"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21D6861A" w14:textId="77777777" w:rsidR="002C3333" w:rsidRDefault="002C3333">
            <w:pPr>
              <w:ind w:left="95"/>
            </w:pPr>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3DE34F8A" w14:textId="77777777" w:rsidR="002C3333" w:rsidRDefault="002C3333">
            <w:pPr>
              <w:ind w:left="101"/>
            </w:pPr>
            <w:r>
              <w:rPr>
                <w:rFonts w:ascii="Times New Roman" w:eastAsia="Times New Roman" w:hAnsi="Times New Roman" w:cs="Times New Roman"/>
                <w:sz w:val="18"/>
              </w:rPr>
              <w:t xml:space="preserve">Capsule, liquid, tablet </w:t>
            </w:r>
          </w:p>
        </w:tc>
        <w:tc>
          <w:tcPr>
            <w:tcW w:w="0" w:type="auto"/>
            <w:vMerge/>
            <w:tcBorders>
              <w:top w:val="single" w:sz="4" w:space="0" w:color="000000"/>
              <w:left w:val="single" w:sz="4" w:space="0" w:color="000000"/>
              <w:bottom w:val="nil"/>
              <w:right w:val="single" w:sz="4" w:space="0" w:color="000000"/>
            </w:tcBorders>
            <w:vAlign w:val="center"/>
            <w:hideMark/>
          </w:tcPr>
          <w:p w14:paraId="546F2E88" w14:textId="77777777" w:rsidR="002C3333" w:rsidRDefault="002C3333">
            <w:pPr>
              <w:rPr>
                <w:rFonts w:ascii="Calibri" w:eastAsia="Calibri" w:hAnsi="Calibri" w:cs="Calibri"/>
                <w:color w:val="000000"/>
              </w:rPr>
            </w:pPr>
          </w:p>
        </w:tc>
      </w:tr>
      <w:tr w:rsidR="002C3333" w14:paraId="1393070F"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1AD20588" w14:textId="77777777" w:rsidR="002C3333" w:rsidRDefault="002C3333">
            <w:pPr>
              <w:ind w:left="95"/>
            </w:pPr>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062AE8CF" w14:textId="77777777" w:rsidR="002C3333" w:rsidRDefault="002C3333">
            <w:pPr>
              <w:ind w:left="101"/>
            </w:pPr>
            <w:r>
              <w:rPr>
                <w:rFonts w:ascii="Times New Roman" w:eastAsia="Times New Roman" w:hAnsi="Times New Roman" w:cs="Times New Roman"/>
                <w:sz w:val="18"/>
              </w:rPr>
              <w:t xml:space="preserve">Swallowed, snorted, injected </w:t>
            </w:r>
          </w:p>
        </w:tc>
        <w:tc>
          <w:tcPr>
            <w:tcW w:w="0" w:type="auto"/>
            <w:vMerge/>
            <w:tcBorders>
              <w:top w:val="single" w:sz="4" w:space="0" w:color="000000"/>
              <w:left w:val="single" w:sz="4" w:space="0" w:color="000000"/>
              <w:bottom w:val="nil"/>
              <w:right w:val="single" w:sz="4" w:space="0" w:color="000000"/>
            </w:tcBorders>
            <w:vAlign w:val="center"/>
            <w:hideMark/>
          </w:tcPr>
          <w:p w14:paraId="3731FBBB" w14:textId="77777777" w:rsidR="002C3333" w:rsidRDefault="002C3333">
            <w:pPr>
              <w:rPr>
                <w:rFonts w:ascii="Calibri" w:eastAsia="Calibri" w:hAnsi="Calibri" w:cs="Calibri"/>
                <w:color w:val="000000"/>
              </w:rPr>
            </w:pPr>
          </w:p>
        </w:tc>
      </w:tr>
      <w:tr w:rsidR="002C3333" w14:paraId="675E6156" w14:textId="77777777" w:rsidTr="002C3333">
        <w:trPr>
          <w:trHeight w:val="428"/>
        </w:trPr>
        <w:tc>
          <w:tcPr>
            <w:tcW w:w="2240" w:type="dxa"/>
            <w:tcBorders>
              <w:top w:val="single" w:sz="4" w:space="0" w:color="000000"/>
              <w:left w:val="single" w:sz="4" w:space="0" w:color="000000"/>
              <w:bottom w:val="single" w:sz="4" w:space="0" w:color="000000"/>
              <w:right w:val="single" w:sz="4" w:space="0" w:color="000000"/>
            </w:tcBorders>
            <w:hideMark/>
          </w:tcPr>
          <w:p w14:paraId="0A8280ED" w14:textId="77777777" w:rsidR="002C3333" w:rsidRDefault="002C3333">
            <w:pPr>
              <w:ind w:left="95"/>
            </w:pPr>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4B98B999" w14:textId="77777777" w:rsidR="002C3333" w:rsidRDefault="002C3333">
            <w:pPr>
              <w:ind w:left="101"/>
            </w:pPr>
            <w:r>
              <w:rPr>
                <w:rFonts w:ascii="Times New Roman" w:eastAsia="Times New Roman" w:hAnsi="Times New Roman" w:cs="Times New Roman"/>
                <w:sz w:val="18"/>
              </w:rPr>
              <w:t xml:space="preserve">Schedule II </w:t>
            </w:r>
          </w:p>
        </w:tc>
        <w:tc>
          <w:tcPr>
            <w:tcW w:w="0" w:type="auto"/>
            <w:vMerge/>
            <w:tcBorders>
              <w:top w:val="single" w:sz="4" w:space="0" w:color="000000"/>
              <w:left w:val="single" w:sz="4" w:space="0" w:color="000000"/>
              <w:bottom w:val="nil"/>
              <w:right w:val="single" w:sz="4" w:space="0" w:color="000000"/>
            </w:tcBorders>
            <w:vAlign w:val="center"/>
            <w:hideMark/>
          </w:tcPr>
          <w:p w14:paraId="3D14F095" w14:textId="77777777" w:rsidR="002C3333" w:rsidRDefault="002C3333">
            <w:pPr>
              <w:rPr>
                <w:rFonts w:ascii="Calibri" w:eastAsia="Calibri" w:hAnsi="Calibri" w:cs="Calibri"/>
                <w:color w:val="000000"/>
              </w:rPr>
            </w:pPr>
          </w:p>
        </w:tc>
      </w:tr>
      <w:tr w:rsidR="002C3333" w14:paraId="3C40EA92" w14:textId="77777777" w:rsidTr="002C3333">
        <w:trPr>
          <w:trHeight w:val="214"/>
        </w:trPr>
        <w:tc>
          <w:tcPr>
            <w:tcW w:w="6199" w:type="dxa"/>
            <w:gridSpan w:val="2"/>
            <w:tcBorders>
              <w:top w:val="single" w:sz="4" w:space="0" w:color="000000"/>
              <w:left w:val="single" w:sz="4" w:space="0" w:color="000000"/>
              <w:bottom w:val="single" w:sz="4" w:space="0" w:color="000000"/>
              <w:right w:val="single" w:sz="4" w:space="0" w:color="000000"/>
            </w:tcBorders>
            <w:shd w:val="clear" w:color="auto" w:fill="E7E6E6"/>
            <w:hideMark/>
          </w:tcPr>
          <w:p w14:paraId="2AC91EF3" w14:textId="77777777" w:rsidR="002C3333" w:rsidRDefault="002C3333">
            <w:pPr>
              <w:ind w:left="95"/>
            </w:pPr>
            <w:r>
              <w:rPr>
                <w:rFonts w:ascii="Times New Roman" w:eastAsia="Times New Roman" w:hAnsi="Times New Roman" w:cs="Times New Roman"/>
                <w:b/>
                <w:sz w:val="18"/>
              </w:rPr>
              <w:t>Prescription Opioids (continued)</w:t>
            </w:r>
            <w:r>
              <w:rPr>
                <w:rFonts w:ascii="Times New Roman" w:eastAsia="Times New Roman" w:hAnsi="Times New Roman" w:cs="Times New Roman"/>
                <w:sz w:val="18"/>
              </w:rPr>
              <w:t xml:space="preserve"> </w:t>
            </w:r>
          </w:p>
        </w:tc>
        <w:tc>
          <w:tcPr>
            <w:tcW w:w="0" w:type="auto"/>
            <w:vMerge/>
            <w:tcBorders>
              <w:top w:val="single" w:sz="4" w:space="0" w:color="000000"/>
              <w:left w:val="single" w:sz="4" w:space="0" w:color="000000"/>
              <w:bottom w:val="nil"/>
              <w:right w:val="single" w:sz="4" w:space="0" w:color="000000"/>
            </w:tcBorders>
            <w:vAlign w:val="center"/>
            <w:hideMark/>
          </w:tcPr>
          <w:p w14:paraId="00B509AD" w14:textId="77777777" w:rsidR="002C3333" w:rsidRDefault="002C3333">
            <w:pPr>
              <w:rPr>
                <w:rFonts w:ascii="Calibri" w:eastAsia="Calibri" w:hAnsi="Calibri" w:cs="Calibri"/>
                <w:color w:val="000000"/>
              </w:rPr>
            </w:pPr>
          </w:p>
        </w:tc>
      </w:tr>
      <w:tr w:rsidR="002C3333" w14:paraId="418419A3" w14:textId="77777777" w:rsidTr="002C3333">
        <w:trPr>
          <w:trHeight w:val="217"/>
        </w:trPr>
        <w:tc>
          <w:tcPr>
            <w:tcW w:w="2240" w:type="dxa"/>
            <w:tcBorders>
              <w:top w:val="single" w:sz="4" w:space="0" w:color="000000"/>
              <w:left w:val="single" w:sz="4" w:space="0" w:color="000000"/>
              <w:bottom w:val="single" w:sz="4" w:space="0" w:color="000000"/>
              <w:right w:val="single" w:sz="4" w:space="0" w:color="000000"/>
            </w:tcBorders>
            <w:hideMark/>
          </w:tcPr>
          <w:p w14:paraId="2173A9C6" w14:textId="77777777" w:rsidR="002C3333" w:rsidRDefault="002C3333">
            <w:pPr>
              <w:ind w:left="95"/>
            </w:pPr>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6D44E1DA" w14:textId="77777777" w:rsidR="002C3333" w:rsidRDefault="002C3333">
            <w:pPr>
              <w:ind w:left="101"/>
            </w:pPr>
            <w:r>
              <w:rPr>
                <w:rFonts w:ascii="Times New Roman" w:eastAsia="Times New Roman" w:hAnsi="Times New Roman" w:cs="Times New Roman"/>
                <w:sz w:val="18"/>
              </w:rPr>
              <w:t xml:space="preserve">D, Dillies, Footballs, Juice, Smack </w:t>
            </w:r>
          </w:p>
        </w:tc>
        <w:tc>
          <w:tcPr>
            <w:tcW w:w="0" w:type="auto"/>
            <w:vMerge/>
            <w:tcBorders>
              <w:top w:val="single" w:sz="4" w:space="0" w:color="000000"/>
              <w:left w:val="single" w:sz="4" w:space="0" w:color="000000"/>
              <w:bottom w:val="nil"/>
              <w:right w:val="single" w:sz="4" w:space="0" w:color="000000"/>
            </w:tcBorders>
            <w:vAlign w:val="center"/>
            <w:hideMark/>
          </w:tcPr>
          <w:p w14:paraId="069948A2" w14:textId="77777777" w:rsidR="002C3333" w:rsidRDefault="002C3333">
            <w:pPr>
              <w:rPr>
                <w:rFonts w:ascii="Calibri" w:eastAsia="Calibri" w:hAnsi="Calibri" w:cs="Calibri"/>
                <w:color w:val="000000"/>
              </w:rPr>
            </w:pPr>
          </w:p>
        </w:tc>
      </w:tr>
      <w:tr w:rsidR="002C3333" w14:paraId="1AA28A7A"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03D85131" w14:textId="77777777" w:rsidR="002C3333" w:rsidRDefault="002C3333">
            <w:pPr>
              <w:ind w:left="95"/>
            </w:pPr>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1CAF8983" w14:textId="77777777" w:rsidR="002C3333" w:rsidRDefault="002C3333">
            <w:pPr>
              <w:ind w:left="101"/>
            </w:pPr>
            <w:r>
              <w:rPr>
                <w:rFonts w:ascii="Times New Roman" w:eastAsia="Times New Roman" w:hAnsi="Times New Roman" w:cs="Times New Roman"/>
                <w:sz w:val="18"/>
              </w:rPr>
              <w:t xml:space="preserve">Hydromorphone (Dilaudid®) </w:t>
            </w:r>
          </w:p>
        </w:tc>
        <w:tc>
          <w:tcPr>
            <w:tcW w:w="0" w:type="auto"/>
            <w:vMerge/>
            <w:tcBorders>
              <w:top w:val="single" w:sz="4" w:space="0" w:color="000000"/>
              <w:left w:val="single" w:sz="4" w:space="0" w:color="000000"/>
              <w:bottom w:val="nil"/>
              <w:right w:val="single" w:sz="4" w:space="0" w:color="000000"/>
            </w:tcBorders>
            <w:vAlign w:val="center"/>
            <w:hideMark/>
          </w:tcPr>
          <w:p w14:paraId="153B2FB9" w14:textId="77777777" w:rsidR="002C3333" w:rsidRDefault="002C3333">
            <w:pPr>
              <w:rPr>
                <w:rFonts w:ascii="Calibri" w:eastAsia="Calibri" w:hAnsi="Calibri" w:cs="Calibri"/>
                <w:color w:val="000000"/>
              </w:rPr>
            </w:pPr>
          </w:p>
        </w:tc>
      </w:tr>
      <w:tr w:rsidR="002C3333" w14:paraId="30371AB5"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68A71B9F" w14:textId="77777777" w:rsidR="002C3333" w:rsidRDefault="002C3333">
            <w:pPr>
              <w:ind w:left="95"/>
            </w:pPr>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6DDB9087" w14:textId="77777777" w:rsidR="002C3333" w:rsidRDefault="002C3333">
            <w:pPr>
              <w:ind w:left="101"/>
            </w:pPr>
            <w:r>
              <w:rPr>
                <w:rFonts w:ascii="Times New Roman" w:eastAsia="Times New Roman" w:hAnsi="Times New Roman" w:cs="Times New Roman"/>
                <w:sz w:val="18"/>
              </w:rPr>
              <w:t xml:space="preserve">Liquid, suppository </w:t>
            </w:r>
          </w:p>
        </w:tc>
        <w:tc>
          <w:tcPr>
            <w:tcW w:w="0" w:type="auto"/>
            <w:vMerge/>
            <w:tcBorders>
              <w:top w:val="single" w:sz="4" w:space="0" w:color="000000"/>
              <w:left w:val="single" w:sz="4" w:space="0" w:color="000000"/>
              <w:bottom w:val="nil"/>
              <w:right w:val="single" w:sz="4" w:space="0" w:color="000000"/>
            </w:tcBorders>
            <w:vAlign w:val="center"/>
            <w:hideMark/>
          </w:tcPr>
          <w:p w14:paraId="1B448F38" w14:textId="77777777" w:rsidR="002C3333" w:rsidRDefault="002C3333">
            <w:pPr>
              <w:rPr>
                <w:rFonts w:ascii="Calibri" w:eastAsia="Calibri" w:hAnsi="Calibri" w:cs="Calibri"/>
                <w:color w:val="000000"/>
              </w:rPr>
            </w:pPr>
          </w:p>
        </w:tc>
      </w:tr>
      <w:tr w:rsidR="002C3333" w14:paraId="1310FC60"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4D08508B" w14:textId="77777777" w:rsidR="002C3333" w:rsidRDefault="002C3333">
            <w:pPr>
              <w:ind w:left="95"/>
            </w:pPr>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5306C694" w14:textId="77777777" w:rsidR="002C3333" w:rsidRDefault="002C3333">
            <w:pPr>
              <w:ind w:left="101"/>
            </w:pPr>
            <w:r>
              <w:rPr>
                <w:rFonts w:ascii="Times New Roman" w:eastAsia="Times New Roman" w:hAnsi="Times New Roman" w:cs="Times New Roman"/>
                <w:sz w:val="18"/>
              </w:rPr>
              <w:t xml:space="preserve">Injected, rectal </w:t>
            </w:r>
          </w:p>
        </w:tc>
        <w:tc>
          <w:tcPr>
            <w:tcW w:w="0" w:type="auto"/>
            <w:vMerge/>
            <w:tcBorders>
              <w:top w:val="single" w:sz="4" w:space="0" w:color="000000"/>
              <w:left w:val="single" w:sz="4" w:space="0" w:color="000000"/>
              <w:bottom w:val="nil"/>
              <w:right w:val="single" w:sz="4" w:space="0" w:color="000000"/>
            </w:tcBorders>
            <w:vAlign w:val="center"/>
            <w:hideMark/>
          </w:tcPr>
          <w:p w14:paraId="45FCECB0" w14:textId="77777777" w:rsidR="002C3333" w:rsidRDefault="002C3333">
            <w:pPr>
              <w:rPr>
                <w:rFonts w:ascii="Calibri" w:eastAsia="Calibri" w:hAnsi="Calibri" w:cs="Calibri"/>
                <w:color w:val="000000"/>
              </w:rPr>
            </w:pPr>
          </w:p>
        </w:tc>
      </w:tr>
      <w:tr w:rsidR="002C3333" w14:paraId="0FBA0FA3" w14:textId="77777777" w:rsidTr="002C3333">
        <w:trPr>
          <w:trHeight w:val="222"/>
        </w:trPr>
        <w:tc>
          <w:tcPr>
            <w:tcW w:w="2240" w:type="dxa"/>
            <w:tcBorders>
              <w:top w:val="single" w:sz="4" w:space="0" w:color="000000"/>
              <w:left w:val="single" w:sz="4" w:space="0" w:color="000000"/>
              <w:bottom w:val="single" w:sz="4" w:space="0" w:color="000000"/>
              <w:right w:val="single" w:sz="4" w:space="0" w:color="000000"/>
            </w:tcBorders>
            <w:hideMark/>
          </w:tcPr>
          <w:p w14:paraId="0DAE9996" w14:textId="77777777" w:rsidR="002C3333" w:rsidRDefault="002C3333">
            <w:pPr>
              <w:ind w:left="95"/>
            </w:pPr>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7E46D77F" w14:textId="77777777" w:rsidR="002C3333" w:rsidRDefault="002C3333">
            <w:pPr>
              <w:ind w:left="101"/>
            </w:pPr>
            <w:r>
              <w:rPr>
                <w:rFonts w:ascii="Times New Roman" w:eastAsia="Times New Roman" w:hAnsi="Times New Roman" w:cs="Times New Roman"/>
                <w:sz w:val="18"/>
              </w:rPr>
              <w:t xml:space="preserve">Schedule II </w:t>
            </w:r>
          </w:p>
        </w:tc>
        <w:tc>
          <w:tcPr>
            <w:tcW w:w="0" w:type="auto"/>
            <w:vMerge/>
            <w:tcBorders>
              <w:top w:val="single" w:sz="4" w:space="0" w:color="000000"/>
              <w:left w:val="single" w:sz="4" w:space="0" w:color="000000"/>
              <w:bottom w:val="nil"/>
              <w:right w:val="single" w:sz="4" w:space="0" w:color="000000"/>
            </w:tcBorders>
            <w:vAlign w:val="center"/>
            <w:hideMark/>
          </w:tcPr>
          <w:p w14:paraId="7EC61254" w14:textId="77777777" w:rsidR="002C3333" w:rsidRDefault="002C3333">
            <w:pPr>
              <w:rPr>
                <w:rFonts w:ascii="Calibri" w:eastAsia="Calibri" w:hAnsi="Calibri" w:cs="Calibri"/>
                <w:color w:val="000000"/>
              </w:rPr>
            </w:pPr>
          </w:p>
        </w:tc>
      </w:tr>
      <w:tr w:rsidR="002C3333" w14:paraId="24569B01" w14:textId="77777777" w:rsidTr="002C3333">
        <w:trPr>
          <w:trHeight w:val="214"/>
        </w:trPr>
        <w:tc>
          <w:tcPr>
            <w:tcW w:w="6199" w:type="dxa"/>
            <w:gridSpan w:val="2"/>
            <w:tcBorders>
              <w:top w:val="single" w:sz="4" w:space="0" w:color="000000"/>
              <w:left w:val="single" w:sz="4" w:space="0" w:color="000000"/>
              <w:bottom w:val="single" w:sz="4" w:space="0" w:color="000000"/>
              <w:right w:val="single" w:sz="4" w:space="0" w:color="000000"/>
            </w:tcBorders>
            <w:shd w:val="clear" w:color="auto" w:fill="E7E6E6"/>
            <w:hideMark/>
          </w:tcPr>
          <w:p w14:paraId="6FF6A213" w14:textId="77777777" w:rsidR="002C3333" w:rsidRDefault="002C3333">
            <w:pPr>
              <w:ind w:left="95"/>
            </w:pPr>
            <w:r>
              <w:rPr>
                <w:rFonts w:ascii="Times New Roman" w:eastAsia="Times New Roman" w:hAnsi="Times New Roman" w:cs="Times New Roman"/>
                <w:b/>
                <w:sz w:val="18"/>
              </w:rPr>
              <w:t>Prescription Opioids (continued)</w:t>
            </w:r>
            <w:r>
              <w:rPr>
                <w:rFonts w:ascii="Times New Roman" w:eastAsia="Times New Roman" w:hAnsi="Times New Roman" w:cs="Times New Roman"/>
                <w:sz w:val="18"/>
              </w:rPr>
              <w:t xml:space="preserve"> </w:t>
            </w:r>
          </w:p>
        </w:tc>
        <w:tc>
          <w:tcPr>
            <w:tcW w:w="0" w:type="auto"/>
            <w:vMerge/>
            <w:tcBorders>
              <w:top w:val="single" w:sz="4" w:space="0" w:color="000000"/>
              <w:left w:val="single" w:sz="4" w:space="0" w:color="000000"/>
              <w:bottom w:val="nil"/>
              <w:right w:val="single" w:sz="4" w:space="0" w:color="000000"/>
            </w:tcBorders>
            <w:vAlign w:val="center"/>
            <w:hideMark/>
          </w:tcPr>
          <w:p w14:paraId="63B4A624" w14:textId="77777777" w:rsidR="002C3333" w:rsidRDefault="002C3333">
            <w:pPr>
              <w:rPr>
                <w:rFonts w:ascii="Calibri" w:eastAsia="Calibri" w:hAnsi="Calibri" w:cs="Calibri"/>
                <w:color w:val="000000"/>
              </w:rPr>
            </w:pPr>
          </w:p>
        </w:tc>
      </w:tr>
      <w:tr w:rsidR="002C3333" w14:paraId="16AE10ED" w14:textId="77777777" w:rsidTr="002C3333">
        <w:trPr>
          <w:trHeight w:val="217"/>
        </w:trPr>
        <w:tc>
          <w:tcPr>
            <w:tcW w:w="2240" w:type="dxa"/>
            <w:tcBorders>
              <w:top w:val="single" w:sz="4" w:space="0" w:color="000000"/>
              <w:left w:val="single" w:sz="4" w:space="0" w:color="000000"/>
              <w:bottom w:val="single" w:sz="4" w:space="0" w:color="000000"/>
              <w:right w:val="single" w:sz="4" w:space="0" w:color="000000"/>
            </w:tcBorders>
            <w:hideMark/>
          </w:tcPr>
          <w:p w14:paraId="29854CBB" w14:textId="77777777" w:rsidR="002C3333" w:rsidRDefault="002C3333">
            <w:pPr>
              <w:ind w:left="95"/>
            </w:pPr>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79DD73D4" w14:textId="77777777" w:rsidR="002C3333" w:rsidRDefault="002C3333">
            <w:pPr>
              <w:ind w:left="101"/>
            </w:pPr>
            <w:r>
              <w:rPr>
                <w:rFonts w:ascii="Times New Roman" w:eastAsia="Times New Roman" w:hAnsi="Times New Roman" w:cs="Times New Roman"/>
                <w:sz w:val="18"/>
              </w:rPr>
              <w:t xml:space="preserve">Demmies, Pain Killer </w:t>
            </w:r>
          </w:p>
        </w:tc>
        <w:tc>
          <w:tcPr>
            <w:tcW w:w="0" w:type="auto"/>
            <w:vMerge/>
            <w:tcBorders>
              <w:top w:val="single" w:sz="4" w:space="0" w:color="000000"/>
              <w:left w:val="single" w:sz="4" w:space="0" w:color="000000"/>
              <w:bottom w:val="nil"/>
              <w:right w:val="single" w:sz="4" w:space="0" w:color="000000"/>
            </w:tcBorders>
            <w:vAlign w:val="center"/>
            <w:hideMark/>
          </w:tcPr>
          <w:p w14:paraId="3FB17A4F" w14:textId="77777777" w:rsidR="002C3333" w:rsidRDefault="002C3333">
            <w:pPr>
              <w:rPr>
                <w:rFonts w:ascii="Calibri" w:eastAsia="Calibri" w:hAnsi="Calibri" w:cs="Calibri"/>
                <w:color w:val="000000"/>
              </w:rPr>
            </w:pPr>
          </w:p>
        </w:tc>
      </w:tr>
      <w:tr w:rsidR="002C3333" w14:paraId="264B6E36"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2ECC20FA" w14:textId="77777777" w:rsidR="002C3333" w:rsidRDefault="002C3333">
            <w:pPr>
              <w:ind w:left="95"/>
            </w:pPr>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6819D83B" w14:textId="77777777" w:rsidR="002C3333" w:rsidRDefault="002C3333">
            <w:pPr>
              <w:ind w:left="101"/>
            </w:pPr>
            <w:r>
              <w:rPr>
                <w:rFonts w:ascii="Times New Roman" w:eastAsia="Times New Roman" w:hAnsi="Times New Roman" w:cs="Times New Roman"/>
                <w:sz w:val="18"/>
              </w:rPr>
              <w:t xml:space="preserve">Meperidine (Demerol®) </w:t>
            </w:r>
          </w:p>
        </w:tc>
        <w:tc>
          <w:tcPr>
            <w:tcW w:w="0" w:type="auto"/>
            <w:vMerge/>
            <w:tcBorders>
              <w:top w:val="single" w:sz="4" w:space="0" w:color="000000"/>
              <w:left w:val="single" w:sz="4" w:space="0" w:color="000000"/>
              <w:bottom w:val="nil"/>
              <w:right w:val="single" w:sz="4" w:space="0" w:color="000000"/>
            </w:tcBorders>
            <w:vAlign w:val="center"/>
            <w:hideMark/>
          </w:tcPr>
          <w:p w14:paraId="42893F3A" w14:textId="77777777" w:rsidR="002C3333" w:rsidRDefault="002C3333">
            <w:pPr>
              <w:rPr>
                <w:rFonts w:ascii="Calibri" w:eastAsia="Calibri" w:hAnsi="Calibri" w:cs="Calibri"/>
                <w:color w:val="000000"/>
              </w:rPr>
            </w:pPr>
          </w:p>
        </w:tc>
      </w:tr>
      <w:tr w:rsidR="002C3333" w14:paraId="61452665"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36CFD4CD" w14:textId="77777777" w:rsidR="002C3333" w:rsidRDefault="002C3333">
            <w:pPr>
              <w:ind w:left="95"/>
            </w:pPr>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5E238560" w14:textId="77777777" w:rsidR="002C3333" w:rsidRDefault="002C3333">
            <w:pPr>
              <w:ind w:left="101"/>
            </w:pPr>
            <w:r>
              <w:rPr>
                <w:rFonts w:ascii="Times New Roman" w:eastAsia="Times New Roman" w:hAnsi="Times New Roman" w:cs="Times New Roman"/>
                <w:sz w:val="18"/>
              </w:rPr>
              <w:t xml:space="preserve">Tablet, liquid </w:t>
            </w:r>
          </w:p>
        </w:tc>
        <w:tc>
          <w:tcPr>
            <w:tcW w:w="0" w:type="auto"/>
            <w:vMerge/>
            <w:tcBorders>
              <w:top w:val="single" w:sz="4" w:space="0" w:color="000000"/>
              <w:left w:val="single" w:sz="4" w:space="0" w:color="000000"/>
              <w:bottom w:val="nil"/>
              <w:right w:val="single" w:sz="4" w:space="0" w:color="000000"/>
            </w:tcBorders>
            <w:vAlign w:val="center"/>
            <w:hideMark/>
          </w:tcPr>
          <w:p w14:paraId="13C0A9F7" w14:textId="77777777" w:rsidR="002C3333" w:rsidRDefault="002C3333">
            <w:pPr>
              <w:rPr>
                <w:rFonts w:ascii="Calibri" w:eastAsia="Calibri" w:hAnsi="Calibri" w:cs="Calibri"/>
                <w:color w:val="000000"/>
              </w:rPr>
            </w:pPr>
          </w:p>
        </w:tc>
      </w:tr>
      <w:tr w:rsidR="002C3333" w14:paraId="76AC1326"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34DEDD57" w14:textId="77777777" w:rsidR="002C3333" w:rsidRDefault="002C3333">
            <w:pPr>
              <w:ind w:left="95"/>
            </w:pPr>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64DE149E" w14:textId="77777777" w:rsidR="002C3333" w:rsidRDefault="002C3333">
            <w:pPr>
              <w:ind w:left="101"/>
            </w:pPr>
            <w:r>
              <w:rPr>
                <w:rFonts w:ascii="Times New Roman" w:eastAsia="Times New Roman" w:hAnsi="Times New Roman" w:cs="Times New Roman"/>
                <w:sz w:val="18"/>
              </w:rPr>
              <w:t xml:space="preserve">Swallowed, snorted, injected </w:t>
            </w:r>
          </w:p>
        </w:tc>
        <w:tc>
          <w:tcPr>
            <w:tcW w:w="0" w:type="auto"/>
            <w:vMerge/>
            <w:tcBorders>
              <w:top w:val="single" w:sz="4" w:space="0" w:color="000000"/>
              <w:left w:val="single" w:sz="4" w:space="0" w:color="000000"/>
              <w:bottom w:val="nil"/>
              <w:right w:val="single" w:sz="4" w:space="0" w:color="000000"/>
            </w:tcBorders>
            <w:vAlign w:val="center"/>
            <w:hideMark/>
          </w:tcPr>
          <w:p w14:paraId="36C9CC36" w14:textId="77777777" w:rsidR="002C3333" w:rsidRDefault="002C3333">
            <w:pPr>
              <w:rPr>
                <w:rFonts w:ascii="Calibri" w:eastAsia="Calibri" w:hAnsi="Calibri" w:cs="Calibri"/>
                <w:color w:val="000000"/>
              </w:rPr>
            </w:pPr>
          </w:p>
        </w:tc>
      </w:tr>
      <w:tr w:rsidR="002C3333" w14:paraId="71A2220A" w14:textId="77777777" w:rsidTr="002C3333">
        <w:trPr>
          <w:trHeight w:val="221"/>
        </w:trPr>
        <w:tc>
          <w:tcPr>
            <w:tcW w:w="2240" w:type="dxa"/>
            <w:tcBorders>
              <w:top w:val="single" w:sz="4" w:space="0" w:color="000000"/>
              <w:left w:val="single" w:sz="4" w:space="0" w:color="000000"/>
              <w:bottom w:val="single" w:sz="4" w:space="0" w:color="000000"/>
              <w:right w:val="single" w:sz="4" w:space="0" w:color="000000"/>
            </w:tcBorders>
            <w:hideMark/>
          </w:tcPr>
          <w:p w14:paraId="42678959" w14:textId="77777777" w:rsidR="002C3333" w:rsidRDefault="002C3333">
            <w:pPr>
              <w:ind w:left="95"/>
            </w:pPr>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190CEE94" w14:textId="77777777" w:rsidR="002C3333" w:rsidRDefault="002C3333">
            <w:pPr>
              <w:ind w:left="101"/>
            </w:pPr>
            <w:r>
              <w:rPr>
                <w:rFonts w:ascii="Times New Roman" w:eastAsia="Times New Roman" w:hAnsi="Times New Roman" w:cs="Times New Roman"/>
                <w:sz w:val="18"/>
              </w:rPr>
              <w:t xml:space="preserve">Schedule II </w:t>
            </w:r>
          </w:p>
        </w:tc>
        <w:tc>
          <w:tcPr>
            <w:tcW w:w="0" w:type="auto"/>
            <w:vMerge/>
            <w:tcBorders>
              <w:top w:val="single" w:sz="4" w:space="0" w:color="000000"/>
              <w:left w:val="single" w:sz="4" w:space="0" w:color="000000"/>
              <w:bottom w:val="nil"/>
              <w:right w:val="single" w:sz="4" w:space="0" w:color="000000"/>
            </w:tcBorders>
            <w:vAlign w:val="center"/>
            <w:hideMark/>
          </w:tcPr>
          <w:p w14:paraId="2029760A" w14:textId="77777777" w:rsidR="002C3333" w:rsidRDefault="002C3333">
            <w:pPr>
              <w:rPr>
                <w:rFonts w:ascii="Calibri" w:eastAsia="Calibri" w:hAnsi="Calibri" w:cs="Calibri"/>
                <w:color w:val="000000"/>
              </w:rPr>
            </w:pPr>
          </w:p>
        </w:tc>
      </w:tr>
      <w:tr w:rsidR="002C3333" w14:paraId="46078BD2" w14:textId="77777777" w:rsidTr="002C3333">
        <w:trPr>
          <w:trHeight w:val="217"/>
        </w:trPr>
        <w:tc>
          <w:tcPr>
            <w:tcW w:w="2240" w:type="dxa"/>
            <w:tcBorders>
              <w:top w:val="single" w:sz="4" w:space="0" w:color="000000"/>
              <w:left w:val="single" w:sz="4" w:space="0" w:color="000000"/>
              <w:bottom w:val="single" w:sz="4" w:space="0" w:color="000000"/>
              <w:right w:val="single" w:sz="4" w:space="0" w:color="000000"/>
            </w:tcBorders>
            <w:tcMar>
              <w:top w:w="5" w:type="dxa"/>
              <w:left w:w="11" w:type="dxa"/>
              <w:bottom w:w="0" w:type="dxa"/>
              <w:right w:w="115" w:type="dxa"/>
            </w:tcMar>
            <w:hideMark/>
          </w:tcPr>
          <w:p w14:paraId="7400D39D" w14:textId="77777777" w:rsidR="002C3333" w:rsidRDefault="002C3333">
            <w:pPr>
              <w:ind w:left="95"/>
            </w:pPr>
            <w:r>
              <w:rPr>
                <w:sz w:val="22"/>
              </w:rPr>
              <w:tab/>
            </w:r>
            <w:r>
              <w:rPr>
                <w:sz w:val="22"/>
              </w:rPr>
              <w:tab/>
            </w:r>
            <w:r>
              <w:rPr>
                <w:rFonts w:ascii="Times New Roman" w:eastAsia="Times New Roman" w:hAnsi="Times New Roman" w:cs="Times New Roman"/>
                <w:b/>
                <w:sz w:val="18"/>
              </w:rPr>
              <w:t xml:space="preserve"> </w:t>
            </w:r>
          </w:p>
        </w:tc>
        <w:tc>
          <w:tcPr>
            <w:tcW w:w="3959" w:type="dxa"/>
            <w:tcBorders>
              <w:top w:val="single" w:sz="4" w:space="0" w:color="000000"/>
              <w:left w:val="single" w:sz="4" w:space="0" w:color="000000"/>
              <w:bottom w:val="single" w:sz="4" w:space="0" w:color="000000"/>
              <w:right w:val="single" w:sz="4" w:space="0" w:color="000000"/>
            </w:tcBorders>
            <w:tcMar>
              <w:top w:w="5" w:type="dxa"/>
              <w:left w:w="11" w:type="dxa"/>
              <w:bottom w:w="0" w:type="dxa"/>
              <w:right w:w="115" w:type="dxa"/>
            </w:tcMar>
            <w:hideMark/>
          </w:tcPr>
          <w:p w14:paraId="5EC32326" w14:textId="77777777" w:rsidR="002C3333" w:rsidRDefault="002C3333">
            <w:pPr>
              <w:ind w:left="101"/>
            </w:pPr>
            <w:r>
              <w:rPr>
                <w:rFonts w:ascii="Times New Roman" w:eastAsia="Times New Roman" w:hAnsi="Times New Roman" w:cs="Times New Roman"/>
                <w:sz w:val="18"/>
              </w:rPr>
              <w:t xml:space="preserve"> </w:t>
            </w:r>
          </w:p>
        </w:tc>
        <w:tc>
          <w:tcPr>
            <w:tcW w:w="3971" w:type="dxa"/>
            <w:vMerge w:val="restart"/>
            <w:tcBorders>
              <w:top w:val="nil"/>
              <w:left w:val="single" w:sz="4" w:space="0" w:color="000000"/>
              <w:bottom w:val="nil"/>
              <w:right w:val="single" w:sz="4" w:space="0" w:color="000000"/>
            </w:tcBorders>
            <w:tcMar>
              <w:top w:w="5" w:type="dxa"/>
              <w:left w:w="11" w:type="dxa"/>
              <w:bottom w:w="0" w:type="dxa"/>
              <w:right w:w="115" w:type="dxa"/>
            </w:tcMar>
            <w:hideMark/>
          </w:tcPr>
          <w:p w14:paraId="7F283F0B" w14:textId="77777777" w:rsidR="002C3333" w:rsidRDefault="002C3333">
            <w:r>
              <w:rPr>
                <w:sz w:val="22"/>
              </w:rPr>
              <w:tab/>
            </w:r>
          </w:p>
        </w:tc>
      </w:tr>
      <w:tr w:rsidR="002C3333" w14:paraId="60878C79" w14:textId="77777777" w:rsidTr="002C3333">
        <w:trPr>
          <w:trHeight w:val="214"/>
        </w:trPr>
        <w:tc>
          <w:tcPr>
            <w:tcW w:w="6199" w:type="dxa"/>
            <w:gridSpan w:val="2"/>
            <w:tcBorders>
              <w:top w:val="single" w:sz="4" w:space="0" w:color="000000"/>
              <w:left w:val="single" w:sz="4" w:space="0" w:color="000000"/>
              <w:bottom w:val="single" w:sz="4" w:space="0" w:color="000000"/>
              <w:right w:val="single" w:sz="4" w:space="0" w:color="000000"/>
            </w:tcBorders>
            <w:shd w:val="clear" w:color="auto" w:fill="E7E6E6"/>
            <w:tcMar>
              <w:top w:w="5" w:type="dxa"/>
              <w:left w:w="11" w:type="dxa"/>
              <w:bottom w:w="0" w:type="dxa"/>
              <w:right w:w="115" w:type="dxa"/>
            </w:tcMar>
            <w:hideMark/>
          </w:tcPr>
          <w:p w14:paraId="2A8BD6D3" w14:textId="77777777" w:rsidR="002C3333" w:rsidRDefault="002C3333">
            <w:pPr>
              <w:ind w:left="95"/>
            </w:pPr>
            <w:r>
              <w:rPr>
                <w:rFonts w:ascii="Times New Roman" w:eastAsia="Times New Roman" w:hAnsi="Times New Roman" w:cs="Times New Roman"/>
                <w:b/>
                <w:sz w:val="18"/>
              </w:rPr>
              <w:t>Prescription Opioids (continued)</w:t>
            </w:r>
            <w:r>
              <w:rPr>
                <w:rFonts w:ascii="Times New Roman" w:eastAsia="Times New Roman" w:hAnsi="Times New Roman" w:cs="Times New Roman"/>
                <w:sz w:val="18"/>
              </w:rPr>
              <w:t xml:space="preserve"> </w:t>
            </w:r>
          </w:p>
        </w:tc>
        <w:tc>
          <w:tcPr>
            <w:tcW w:w="0" w:type="auto"/>
            <w:vMerge/>
            <w:tcBorders>
              <w:top w:val="nil"/>
              <w:left w:val="single" w:sz="4" w:space="0" w:color="000000"/>
              <w:bottom w:val="nil"/>
              <w:right w:val="single" w:sz="4" w:space="0" w:color="000000"/>
            </w:tcBorders>
            <w:vAlign w:val="center"/>
            <w:hideMark/>
          </w:tcPr>
          <w:p w14:paraId="51BD26D5" w14:textId="77777777" w:rsidR="002C3333" w:rsidRDefault="002C3333">
            <w:pPr>
              <w:rPr>
                <w:rFonts w:ascii="Calibri" w:eastAsia="Calibri" w:hAnsi="Calibri" w:cs="Calibri"/>
                <w:color w:val="000000"/>
              </w:rPr>
            </w:pPr>
          </w:p>
        </w:tc>
      </w:tr>
      <w:tr w:rsidR="002C3333" w14:paraId="69B35034" w14:textId="77777777" w:rsidTr="002C3333">
        <w:trPr>
          <w:trHeight w:val="428"/>
        </w:trPr>
        <w:tc>
          <w:tcPr>
            <w:tcW w:w="2240" w:type="dxa"/>
            <w:tcBorders>
              <w:top w:val="single" w:sz="4" w:space="0" w:color="000000"/>
              <w:left w:val="single" w:sz="4" w:space="0" w:color="000000"/>
              <w:bottom w:val="single" w:sz="4" w:space="0" w:color="000000"/>
              <w:right w:val="single" w:sz="4" w:space="0" w:color="000000"/>
            </w:tcBorders>
            <w:tcMar>
              <w:top w:w="5" w:type="dxa"/>
              <w:left w:w="11" w:type="dxa"/>
              <w:bottom w:w="0" w:type="dxa"/>
              <w:right w:w="115" w:type="dxa"/>
            </w:tcMar>
            <w:hideMark/>
          </w:tcPr>
          <w:p w14:paraId="4B24E8A8" w14:textId="77777777" w:rsidR="002C3333" w:rsidRDefault="002C3333">
            <w:pPr>
              <w:ind w:left="95"/>
            </w:pPr>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tcMar>
              <w:top w:w="5" w:type="dxa"/>
              <w:left w:w="11" w:type="dxa"/>
              <w:bottom w:w="0" w:type="dxa"/>
              <w:right w:w="115" w:type="dxa"/>
            </w:tcMar>
            <w:hideMark/>
          </w:tcPr>
          <w:p w14:paraId="61FE41AE" w14:textId="77777777" w:rsidR="002C3333" w:rsidRDefault="002C3333">
            <w:pPr>
              <w:ind w:left="101"/>
            </w:pPr>
            <w:r>
              <w:rPr>
                <w:rFonts w:ascii="Times New Roman" w:eastAsia="Times New Roman" w:hAnsi="Times New Roman" w:cs="Times New Roman"/>
                <w:sz w:val="18"/>
              </w:rPr>
              <w:t xml:space="preserve">Amidone, Fizzies with MDMA: Chocolate Chip Cookies </w:t>
            </w:r>
          </w:p>
        </w:tc>
        <w:tc>
          <w:tcPr>
            <w:tcW w:w="0" w:type="auto"/>
            <w:vMerge/>
            <w:tcBorders>
              <w:top w:val="nil"/>
              <w:left w:val="single" w:sz="4" w:space="0" w:color="000000"/>
              <w:bottom w:val="nil"/>
              <w:right w:val="single" w:sz="4" w:space="0" w:color="000000"/>
            </w:tcBorders>
            <w:vAlign w:val="center"/>
            <w:hideMark/>
          </w:tcPr>
          <w:p w14:paraId="722AA971" w14:textId="77777777" w:rsidR="002C3333" w:rsidRDefault="002C3333">
            <w:pPr>
              <w:rPr>
                <w:rFonts w:ascii="Calibri" w:eastAsia="Calibri" w:hAnsi="Calibri" w:cs="Calibri"/>
                <w:color w:val="000000"/>
              </w:rPr>
            </w:pPr>
          </w:p>
        </w:tc>
      </w:tr>
      <w:tr w:rsidR="002C3333" w14:paraId="70A1210A"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tcMar>
              <w:top w:w="5" w:type="dxa"/>
              <w:left w:w="11" w:type="dxa"/>
              <w:bottom w:w="0" w:type="dxa"/>
              <w:right w:w="115" w:type="dxa"/>
            </w:tcMar>
            <w:hideMark/>
          </w:tcPr>
          <w:p w14:paraId="1F18DA59" w14:textId="77777777" w:rsidR="002C3333" w:rsidRDefault="002C3333">
            <w:pPr>
              <w:ind w:left="95"/>
            </w:pPr>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tcMar>
              <w:top w:w="5" w:type="dxa"/>
              <w:left w:w="11" w:type="dxa"/>
              <w:bottom w:w="0" w:type="dxa"/>
              <w:right w:w="115" w:type="dxa"/>
            </w:tcMar>
            <w:hideMark/>
          </w:tcPr>
          <w:p w14:paraId="177D3AB0" w14:textId="77777777" w:rsidR="002C3333" w:rsidRDefault="002C3333">
            <w:pPr>
              <w:ind w:left="101"/>
            </w:pPr>
            <w:r>
              <w:rPr>
                <w:rFonts w:ascii="Times New Roman" w:eastAsia="Times New Roman" w:hAnsi="Times New Roman" w:cs="Times New Roman"/>
                <w:sz w:val="18"/>
              </w:rPr>
              <w:t xml:space="preserve">Methadone (Dolophine®, Methadose®) </w:t>
            </w:r>
          </w:p>
        </w:tc>
        <w:tc>
          <w:tcPr>
            <w:tcW w:w="0" w:type="auto"/>
            <w:vMerge/>
            <w:tcBorders>
              <w:top w:val="nil"/>
              <w:left w:val="single" w:sz="4" w:space="0" w:color="000000"/>
              <w:bottom w:val="nil"/>
              <w:right w:val="single" w:sz="4" w:space="0" w:color="000000"/>
            </w:tcBorders>
            <w:vAlign w:val="center"/>
            <w:hideMark/>
          </w:tcPr>
          <w:p w14:paraId="3A4127D0" w14:textId="77777777" w:rsidR="002C3333" w:rsidRDefault="002C3333">
            <w:pPr>
              <w:rPr>
                <w:rFonts w:ascii="Calibri" w:eastAsia="Calibri" w:hAnsi="Calibri" w:cs="Calibri"/>
                <w:color w:val="000000"/>
              </w:rPr>
            </w:pPr>
          </w:p>
        </w:tc>
      </w:tr>
      <w:tr w:rsidR="002C3333" w14:paraId="764316E7"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tcMar>
              <w:top w:w="5" w:type="dxa"/>
              <w:left w:w="11" w:type="dxa"/>
              <w:bottom w:w="0" w:type="dxa"/>
              <w:right w:w="115" w:type="dxa"/>
            </w:tcMar>
            <w:hideMark/>
          </w:tcPr>
          <w:p w14:paraId="707D6B99" w14:textId="77777777" w:rsidR="002C3333" w:rsidRDefault="002C3333">
            <w:pPr>
              <w:ind w:left="95"/>
            </w:pPr>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tcMar>
              <w:top w:w="5" w:type="dxa"/>
              <w:left w:w="11" w:type="dxa"/>
              <w:bottom w:w="0" w:type="dxa"/>
              <w:right w:w="115" w:type="dxa"/>
            </w:tcMar>
            <w:hideMark/>
          </w:tcPr>
          <w:p w14:paraId="1695CD3D" w14:textId="77777777" w:rsidR="002C3333" w:rsidRDefault="002C3333">
            <w:pPr>
              <w:ind w:left="101"/>
            </w:pPr>
            <w:r>
              <w:rPr>
                <w:rFonts w:ascii="Times New Roman" w:eastAsia="Times New Roman" w:hAnsi="Times New Roman" w:cs="Times New Roman"/>
                <w:sz w:val="18"/>
              </w:rPr>
              <w:t xml:space="preserve">Tablet, dispersible tablet, liquid </w:t>
            </w:r>
          </w:p>
        </w:tc>
        <w:tc>
          <w:tcPr>
            <w:tcW w:w="0" w:type="auto"/>
            <w:vMerge/>
            <w:tcBorders>
              <w:top w:val="nil"/>
              <w:left w:val="single" w:sz="4" w:space="0" w:color="000000"/>
              <w:bottom w:val="nil"/>
              <w:right w:val="single" w:sz="4" w:space="0" w:color="000000"/>
            </w:tcBorders>
            <w:vAlign w:val="center"/>
            <w:hideMark/>
          </w:tcPr>
          <w:p w14:paraId="0BEF4BFE" w14:textId="77777777" w:rsidR="002C3333" w:rsidRDefault="002C3333">
            <w:pPr>
              <w:rPr>
                <w:rFonts w:ascii="Calibri" w:eastAsia="Calibri" w:hAnsi="Calibri" w:cs="Calibri"/>
                <w:color w:val="000000"/>
              </w:rPr>
            </w:pPr>
          </w:p>
        </w:tc>
      </w:tr>
      <w:tr w:rsidR="002C3333" w14:paraId="406D8599"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tcMar>
              <w:top w:w="5" w:type="dxa"/>
              <w:left w:w="11" w:type="dxa"/>
              <w:bottom w:w="0" w:type="dxa"/>
              <w:right w:w="115" w:type="dxa"/>
            </w:tcMar>
            <w:hideMark/>
          </w:tcPr>
          <w:p w14:paraId="06D28EA3" w14:textId="77777777" w:rsidR="002C3333" w:rsidRDefault="002C3333">
            <w:pPr>
              <w:ind w:left="95"/>
            </w:pPr>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tcMar>
              <w:top w:w="5" w:type="dxa"/>
              <w:left w:w="11" w:type="dxa"/>
              <w:bottom w:w="0" w:type="dxa"/>
              <w:right w:w="115" w:type="dxa"/>
            </w:tcMar>
            <w:hideMark/>
          </w:tcPr>
          <w:p w14:paraId="56B6BA49" w14:textId="77777777" w:rsidR="002C3333" w:rsidRDefault="002C3333">
            <w:pPr>
              <w:ind w:left="101"/>
            </w:pPr>
            <w:r>
              <w:rPr>
                <w:rFonts w:ascii="Times New Roman" w:eastAsia="Times New Roman" w:hAnsi="Times New Roman" w:cs="Times New Roman"/>
                <w:sz w:val="18"/>
              </w:rPr>
              <w:t xml:space="preserve">Swallowed, injected </w:t>
            </w:r>
          </w:p>
        </w:tc>
        <w:tc>
          <w:tcPr>
            <w:tcW w:w="0" w:type="auto"/>
            <w:vMerge/>
            <w:tcBorders>
              <w:top w:val="nil"/>
              <w:left w:val="single" w:sz="4" w:space="0" w:color="000000"/>
              <w:bottom w:val="nil"/>
              <w:right w:val="single" w:sz="4" w:space="0" w:color="000000"/>
            </w:tcBorders>
            <w:vAlign w:val="center"/>
            <w:hideMark/>
          </w:tcPr>
          <w:p w14:paraId="3B156FC4" w14:textId="77777777" w:rsidR="002C3333" w:rsidRDefault="002C3333">
            <w:pPr>
              <w:rPr>
                <w:rFonts w:ascii="Calibri" w:eastAsia="Calibri" w:hAnsi="Calibri" w:cs="Calibri"/>
                <w:color w:val="000000"/>
              </w:rPr>
            </w:pPr>
          </w:p>
        </w:tc>
      </w:tr>
      <w:tr w:rsidR="002C3333" w14:paraId="21F3B719" w14:textId="77777777" w:rsidTr="002C3333">
        <w:trPr>
          <w:trHeight w:val="221"/>
        </w:trPr>
        <w:tc>
          <w:tcPr>
            <w:tcW w:w="2240" w:type="dxa"/>
            <w:tcBorders>
              <w:top w:val="single" w:sz="4" w:space="0" w:color="000000"/>
              <w:left w:val="single" w:sz="4" w:space="0" w:color="000000"/>
              <w:bottom w:val="single" w:sz="4" w:space="0" w:color="000000"/>
              <w:right w:val="single" w:sz="4" w:space="0" w:color="000000"/>
            </w:tcBorders>
            <w:tcMar>
              <w:top w:w="5" w:type="dxa"/>
              <w:left w:w="11" w:type="dxa"/>
              <w:bottom w:w="0" w:type="dxa"/>
              <w:right w:w="115" w:type="dxa"/>
            </w:tcMar>
            <w:hideMark/>
          </w:tcPr>
          <w:p w14:paraId="44AB1ECA" w14:textId="77777777" w:rsidR="002C3333" w:rsidRDefault="002C3333">
            <w:pPr>
              <w:ind w:left="95"/>
            </w:pPr>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tcMar>
              <w:top w:w="5" w:type="dxa"/>
              <w:left w:w="11" w:type="dxa"/>
              <w:bottom w:w="0" w:type="dxa"/>
              <w:right w:w="115" w:type="dxa"/>
            </w:tcMar>
            <w:hideMark/>
          </w:tcPr>
          <w:p w14:paraId="73C90DE9" w14:textId="77777777" w:rsidR="002C3333" w:rsidRDefault="002C3333">
            <w:pPr>
              <w:ind w:left="101"/>
            </w:pPr>
            <w:r>
              <w:rPr>
                <w:rFonts w:ascii="Times New Roman" w:eastAsia="Times New Roman" w:hAnsi="Times New Roman" w:cs="Times New Roman"/>
                <w:sz w:val="18"/>
              </w:rPr>
              <w:t xml:space="preserve">Schedule II </w:t>
            </w:r>
          </w:p>
        </w:tc>
        <w:tc>
          <w:tcPr>
            <w:tcW w:w="0" w:type="auto"/>
            <w:vMerge/>
            <w:tcBorders>
              <w:top w:val="nil"/>
              <w:left w:val="single" w:sz="4" w:space="0" w:color="000000"/>
              <w:bottom w:val="nil"/>
              <w:right w:val="single" w:sz="4" w:space="0" w:color="000000"/>
            </w:tcBorders>
            <w:vAlign w:val="center"/>
            <w:hideMark/>
          </w:tcPr>
          <w:p w14:paraId="03279E62" w14:textId="77777777" w:rsidR="002C3333" w:rsidRDefault="002C3333">
            <w:pPr>
              <w:rPr>
                <w:rFonts w:ascii="Calibri" w:eastAsia="Calibri" w:hAnsi="Calibri" w:cs="Calibri"/>
                <w:color w:val="000000"/>
              </w:rPr>
            </w:pPr>
          </w:p>
        </w:tc>
      </w:tr>
    </w:tbl>
    <w:p w14:paraId="1DC3F4FB" w14:textId="77777777" w:rsidR="002C3333" w:rsidRDefault="002C3333" w:rsidP="002C3333">
      <w:pPr>
        <w:spacing w:after="0"/>
        <w:ind w:left="5"/>
        <w:jc w:val="both"/>
        <w:rPr>
          <w:rFonts w:ascii="Calibri" w:eastAsia="Calibri" w:hAnsi="Calibri" w:cs="Calibri"/>
          <w:color w:val="000000"/>
          <w:kern w:val="2"/>
          <w:sz w:val="22"/>
          <w14:ligatures w14:val="standardContextual"/>
        </w:rPr>
      </w:pPr>
      <w:r>
        <w:tab/>
      </w:r>
    </w:p>
    <w:p w14:paraId="019A02D3" w14:textId="77777777" w:rsidR="002C3333" w:rsidRDefault="002C3333" w:rsidP="002C3333">
      <w:pPr>
        <w:spacing w:after="0"/>
        <w:ind w:left="5"/>
        <w:jc w:val="both"/>
      </w:pPr>
    </w:p>
    <w:p w14:paraId="0C6B10A1" w14:textId="77777777" w:rsidR="002C3333" w:rsidRDefault="002C3333" w:rsidP="002C3333">
      <w:pPr>
        <w:spacing w:after="0"/>
        <w:ind w:left="5"/>
        <w:jc w:val="both"/>
      </w:pPr>
    </w:p>
    <w:tbl>
      <w:tblPr>
        <w:tblStyle w:val="TableGrid0"/>
        <w:tblW w:w="10170" w:type="dxa"/>
        <w:tblInd w:w="-5" w:type="dxa"/>
        <w:tblCellMar>
          <w:top w:w="5" w:type="dxa"/>
          <w:left w:w="11" w:type="dxa"/>
          <w:right w:w="115" w:type="dxa"/>
        </w:tblCellMar>
        <w:tblLook w:val="04A0" w:firstRow="1" w:lastRow="0" w:firstColumn="1" w:lastColumn="0" w:noHBand="0" w:noVBand="1"/>
      </w:tblPr>
      <w:tblGrid>
        <w:gridCol w:w="2240"/>
        <w:gridCol w:w="3959"/>
        <w:gridCol w:w="3971"/>
      </w:tblGrid>
      <w:tr w:rsidR="002C3333" w14:paraId="088D4891" w14:textId="77777777" w:rsidTr="002C3333">
        <w:trPr>
          <w:trHeight w:val="214"/>
        </w:trPr>
        <w:tc>
          <w:tcPr>
            <w:tcW w:w="6199" w:type="dxa"/>
            <w:gridSpan w:val="2"/>
            <w:tcBorders>
              <w:top w:val="single" w:sz="4" w:space="0" w:color="000000"/>
              <w:left w:val="single" w:sz="4" w:space="0" w:color="000000"/>
              <w:bottom w:val="single" w:sz="4" w:space="0" w:color="000000"/>
              <w:right w:val="single" w:sz="4" w:space="0" w:color="000000"/>
            </w:tcBorders>
            <w:shd w:val="clear" w:color="auto" w:fill="E7E6E6"/>
            <w:hideMark/>
          </w:tcPr>
          <w:p w14:paraId="026997E8" w14:textId="77777777" w:rsidR="002C3333" w:rsidRDefault="002C3333">
            <w:pPr>
              <w:ind w:left="95"/>
            </w:pPr>
            <w:r>
              <w:rPr>
                <w:rFonts w:ascii="Times New Roman" w:eastAsia="Times New Roman" w:hAnsi="Times New Roman" w:cs="Times New Roman"/>
                <w:b/>
                <w:sz w:val="18"/>
              </w:rPr>
              <w:lastRenderedPageBreak/>
              <w:t>Prescription Opioids (continued)</w:t>
            </w:r>
            <w:r>
              <w:rPr>
                <w:rFonts w:ascii="Times New Roman" w:eastAsia="Times New Roman" w:hAnsi="Times New Roman" w:cs="Times New Roman"/>
                <w:sz w:val="18"/>
              </w:rPr>
              <w:t xml:space="preserve"> </w:t>
            </w:r>
          </w:p>
        </w:tc>
        <w:tc>
          <w:tcPr>
            <w:tcW w:w="3971" w:type="dxa"/>
            <w:vMerge w:val="restart"/>
            <w:tcBorders>
              <w:top w:val="nil"/>
              <w:left w:val="single" w:sz="4" w:space="0" w:color="000000"/>
              <w:bottom w:val="single" w:sz="4" w:space="0" w:color="000000"/>
              <w:right w:val="single" w:sz="4" w:space="0" w:color="000000"/>
            </w:tcBorders>
          </w:tcPr>
          <w:p w14:paraId="27F54CBA" w14:textId="77777777" w:rsidR="002C3333" w:rsidRDefault="002C3333"/>
        </w:tc>
      </w:tr>
      <w:tr w:rsidR="002C3333" w14:paraId="36782EDA" w14:textId="77777777" w:rsidTr="002C3333">
        <w:trPr>
          <w:trHeight w:val="217"/>
        </w:trPr>
        <w:tc>
          <w:tcPr>
            <w:tcW w:w="2240" w:type="dxa"/>
            <w:tcBorders>
              <w:top w:val="single" w:sz="4" w:space="0" w:color="000000"/>
              <w:left w:val="single" w:sz="4" w:space="0" w:color="000000"/>
              <w:bottom w:val="single" w:sz="4" w:space="0" w:color="000000"/>
              <w:right w:val="single" w:sz="4" w:space="0" w:color="000000"/>
            </w:tcBorders>
            <w:hideMark/>
          </w:tcPr>
          <w:p w14:paraId="2F258C00" w14:textId="77777777" w:rsidR="002C3333" w:rsidRDefault="002C3333">
            <w:pPr>
              <w:ind w:left="95"/>
            </w:pPr>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4E78A95D" w14:textId="77777777" w:rsidR="002C3333" w:rsidRDefault="002C3333">
            <w:pPr>
              <w:ind w:left="101"/>
            </w:pPr>
            <w:r>
              <w:rPr>
                <w:rFonts w:ascii="Times New Roman" w:eastAsia="Times New Roman" w:hAnsi="Times New Roman" w:cs="Times New Roman"/>
                <w:sz w:val="18"/>
              </w:rPr>
              <w:t xml:space="preserve">M, Miss Emma, Monkey, White Stuff </w:t>
            </w:r>
          </w:p>
        </w:tc>
        <w:tc>
          <w:tcPr>
            <w:tcW w:w="0" w:type="auto"/>
            <w:vMerge/>
            <w:tcBorders>
              <w:top w:val="nil"/>
              <w:left w:val="single" w:sz="4" w:space="0" w:color="000000"/>
              <w:bottom w:val="single" w:sz="4" w:space="0" w:color="000000"/>
              <w:right w:val="single" w:sz="4" w:space="0" w:color="000000"/>
            </w:tcBorders>
            <w:vAlign w:val="center"/>
            <w:hideMark/>
          </w:tcPr>
          <w:p w14:paraId="06063050" w14:textId="77777777" w:rsidR="002C3333" w:rsidRDefault="002C3333">
            <w:pPr>
              <w:rPr>
                <w:rFonts w:ascii="Calibri" w:eastAsia="Calibri" w:hAnsi="Calibri" w:cs="Calibri"/>
                <w:color w:val="000000"/>
              </w:rPr>
            </w:pPr>
          </w:p>
        </w:tc>
      </w:tr>
      <w:tr w:rsidR="002C3333" w14:paraId="25BF14D8"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3BAA271B" w14:textId="77777777" w:rsidR="002C3333" w:rsidRDefault="002C3333">
            <w:pPr>
              <w:ind w:left="95"/>
            </w:pPr>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09AAFC58" w14:textId="77777777" w:rsidR="002C3333" w:rsidRDefault="002C3333">
            <w:pPr>
              <w:ind w:left="101"/>
            </w:pPr>
            <w:r>
              <w:rPr>
                <w:rFonts w:ascii="Times New Roman" w:eastAsia="Times New Roman" w:hAnsi="Times New Roman" w:cs="Times New Roman"/>
                <w:sz w:val="18"/>
              </w:rPr>
              <w:t xml:space="preserve">Morphine (Duramorph®, Roxanol®) </w:t>
            </w:r>
          </w:p>
        </w:tc>
        <w:tc>
          <w:tcPr>
            <w:tcW w:w="0" w:type="auto"/>
            <w:vMerge/>
            <w:tcBorders>
              <w:top w:val="nil"/>
              <w:left w:val="single" w:sz="4" w:space="0" w:color="000000"/>
              <w:bottom w:val="single" w:sz="4" w:space="0" w:color="000000"/>
              <w:right w:val="single" w:sz="4" w:space="0" w:color="000000"/>
            </w:tcBorders>
            <w:vAlign w:val="center"/>
            <w:hideMark/>
          </w:tcPr>
          <w:p w14:paraId="7F9F8505" w14:textId="77777777" w:rsidR="002C3333" w:rsidRDefault="002C3333">
            <w:pPr>
              <w:rPr>
                <w:rFonts w:ascii="Calibri" w:eastAsia="Calibri" w:hAnsi="Calibri" w:cs="Calibri"/>
                <w:color w:val="000000"/>
              </w:rPr>
            </w:pPr>
          </w:p>
        </w:tc>
      </w:tr>
      <w:tr w:rsidR="002C3333" w14:paraId="44EDBF01"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2E8F580B" w14:textId="77777777" w:rsidR="002C3333" w:rsidRDefault="002C3333">
            <w:pPr>
              <w:ind w:left="95"/>
            </w:pPr>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4C3172F7" w14:textId="77777777" w:rsidR="002C3333" w:rsidRDefault="002C3333">
            <w:pPr>
              <w:ind w:left="101"/>
            </w:pPr>
            <w:r>
              <w:rPr>
                <w:rFonts w:ascii="Times New Roman" w:eastAsia="Times New Roman" w:hAnsi="Times New Roman" w:cs="Times New Roman"/>
                <w:sz w:val="18"/>
              </w:rPr>
              <w:t xml:space="preserve">Tablet, liquid, capsule, suppository </w:t>
            </w:r>
          </w:p>
        </w:tc>
        <w:tc>
          <w:tcPr>
            <w:tcW w:w="0" w:type="auto"/>
            <w:vMerge/>
            <w:tcBorders>
              <w:top w:val="nil"/>
              <w:left w:val="single" w:sz="4" w:space="0" w:color="000000"/>
              <w:bottom w:val="single" w:sz="4" w:space="0" w:color="000000"/>
              <w:right w:val="single" w:sz="4" w:space="0" w:color="000000"/>
            </w:tcBorders>
            <w:vAlign w:val="center"/>
            <w:hideMark/>
          </w:tcPr>
          <w:p w14:paraId="201446D3" w14:textId="77777777" w:rsidR="002C3333" w:rsidRDefault="002C3333">
            <w:pPr>
              <w:rPr>
                <w:rFonts w:ascii="Calibri" w:eastAsia="Calibri" w:hAnsi="Calibri" w:cs="Calibri"/>
                <w:color w:val="000000"/>
              </w:rPr>
            </w:pPr>
          </w:p>
        </w:tc>
      </w:tr>
      <w:tr w:rsidR="002C3333" w14:paraId="57F491D9" w14:textId="77777777" w:rsidTr="002C3333">
        <w:trPr>
          <w:trHeight w:val="221"/>
        </w:trPr>
        <w:tc>
          <w:tcPr>
            <w:tcW w:w="2240" w:type="dxa"/>
            <w:tcBorders>
              <w:top w:val="single" w:sz="4" w:space="0" w:color="000000"/>
              <w:left w:val="single" w:sz="4" w:space="0" w:color="000000"/>
              <w:bottom w:val="single" w:sz="4" w:space="0" w:color="000000"/>
              <w:right w:val="single" w:sz="4" w:space="0" w:color="000000"/>
            </w:tcBorders>
            <w:hideMark/>
          </w:tcPr>
          <w:p w14:paraId="6FC56599" w14:textId="77777777" w:rsidR="002C3333" w:rsidRDefault="002C3333">
            <w:pPr>
              <w:ind w:left="95"/>
            </w:pPr>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02D78F6E" w14:textId="77777777" w:rsidR="002C3333" w:rsidRDefault="002C3333">
            <w:pPr>
              <w:ind w:left="101"/>
            </w:pPr>
            <w:r>
              <w:rPr>
                <w:rFonts w:ascii="Times New Roman" w:eastAsia="Times New Roman" w:hAnsi="Times New Roman" w:cs="Times New Roman"/>
                <w:sz w:val="18"/>
              </w:rPr>
              <w:t xml:space="preserve">Injected, swallowed, smoked </w:t>
            </w:r>
          </w:p>
        </w:tc>
        <w:tc>
          <w:tcPr>
            <w:tcW w:w="0" w:type="auto"/>
            <w:vMerge/>
            <w:tcBorders>
              <w:top w:val="nil"/>
              <w:left w:val="single" w:sz="4" w:space="0" w:color="000000"/>
              <w:bottom w:val="single" w:sz="4" w:space="0" w:color="000000"/>
              <w:right w:val="single" w:sz="4" w:space="0" w:color="000000"/>
            </w:tcBorders>
            <w:vAlign w:val="center"/>
            <w:hideMark/>
          </w:tcPr>
          <w:p w14:paraId="22A6115B" w14:textId="77777777" w:rsidR="002C3333" w:rsidRDefault="002C3333">
            <w:pPr>
              <w:rPr>
                <w:rFonts w:ascii="Calibri" w:eastAsia="Calibri" w:hAnsi="Calibri" w:cs="Calibri"/>
                <w:color w:val="000000"/>
              </w:rPr>
            </w:pPr>
          </w:p>
        </w:tc>
      </w:tr>
      <w:tr w:rsidR="002C3333" w14:paraId="4404AE46" w14:textId="77777777" w:rsidTr="002C3333">
        <w:trPr>
          <w:trHeight w:val="217"/>
        </w:trPr>
        <w:tc>
          <w:tcPr>
            <w:tcW w:w="2240" w:type="dxa"/>
            <w:tcBorders>
              <w:top w:val="single" w:sz="4" w:space="0" w:color="000000"/>
              <w:left w:val="single" w:sz="4" w:space="0" w:color="000000"/>
              <w:bottom w:val="single" w:sz="4" w:space="0" w:color="000000"/>
              <w:right w:val="single" w:sz="4" w:space="0" w:color="000000"/>
            </w:tcBorders>
            <w:hideMark/>
          </w:tcPr>
          <w:p w14:paraId="5C8C0EBE" w14:textId="77777777" w:rsidR="002C3333" w:rsidRDefault="002C3333">
            <w:pPr>
              <w:ind w:left="95"/>
            </w:pPr>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041E71DC" w14:textId="77777777" w:rsidR="002C3333" w:rsidRDefault="002C3333">
            <w:pPr>
              <w:ind w:left="101"/>
            </w:pPr>
            <w:r>
              <w:rPr>
                <w:rFonts w:ascii="Times New Roman" w:eastAsia="Times New Roman" w:hAnsi="Times New Roman" w:cs="Times New Roman"/>
                <w:sz w:val="18"/>
              </w:rPr>
              <w:t xml:space="preserve">Schedule II, III </w:t>
            </w:r>
          </w:p>
        </w:tc>
        <w:tc>
          <w:tcPr>
            <w:tcW w:w="0" w:type="auto"/>
            <w:vMerge/>
            <w:tcBorders>
              <w:top w:val="nil"/>
              <w:left w:val="single" w:sz="4" w:space="0" w:color="000000"/>
              <w:bottom w:val="single" w:sz="4" w:space="0" w:color="000000"/>
              <w:right w:val="single" w:sz="4" w:space="0" w:color="000000"/>
            </w:tcBorders>
            <w:vAlign w:val="center"/>
            <w:hideMark/>
          </w:tcPr>
          <w:p w14:paraId="1F02A871" w14:textId="77777777" w:rsidR="002C3333" w:rsidRDefault="002C3333">
            <w:pPr>
              <w:rPr>
                <w:rFonts w:ascii="Calibri" w:eastAsia="Calibri" w:hAnsi="Calibri" w:cs="Calibri"/>
                <w:color w:val="000000"/>
              </w:rPr>
            </w:pPr>
          </w:p>
        </w:tc>
      </w:tr>
      <w:tr w:rsidR="002C3333" w14:paraId="55AAB260" w14:textId="77777777" w:rsidTr="002C3333">
        <w:trPr>
          <w:trHeight w:val="214"/>
        </w:trPr>
        <w:tc>
          <w:tcPr>
            <w:tcW w:w="6199" w:type="dxa"/>
            <w:gridSpan w:val="2"/>
            <w:tcBorders>
              <w:top w:val="single" w:sz="4" w:space="0" w:color="000000"/>
              <w:left w:val="single" w:sz="4" w:space="0" w:color="000000"/>
              <w:bottom w:val="single" w:sz="4" w:space="0" w:color="000000"/>
              <w:right w:val="single" w:sz="4" w:space="0" w:color="000000"/>
            </w:tcBorders>
            <w:shd w:val="clear" w:color="auto" w:fill="E7E6E6"/>
            <w:hideMark/>
          </w:tcPr>
          <w:p w14:paraId="029E8841" w14:textId="77777777" w:rsidR="002C3333" w:rsidRDefault="002C3333">
            <w:pPr>
              <w:ind w:left="95"/>
            </w:pPr>
            <w:r>
              <w:rPr>
                <w:rFonts w:ascii="Times New Roman" w:eastAsia="Times New Roman" w:hAnsi="Times New Roman" w:cs="Times New Roman"/>
                <w:b/>
                <w:sz w:val="18"/>
              </w:rPr>
              <w:t>Prescription Opioids (continued)</w:t>
            </w:r>
            <w:r>
              <w:rPr>
                <w:rFonts w:ascii="Times New Roman" w:eastAsia="Times New Roman" w:hAnsi="Times New Roman" w:cs="Times New Roman"/>
                <w:sz w:val="18"/>
              </w:rPr>
              <w:t xml:space="preserve"> </w:t>
            </w:r>
          </w:p>
        </w:tc>
        <w:tc>
          <w:tcPr>
            <w:tcW w:w="0" w:type="auto"/>
            <w:vMerge/>
            <w:tcBorders>
              <w:top w:val="nil"/>
              <w:left w:val="single" w:sz="4" w:space="0" w:color="000000"/>
              <w:bottom w:val="single" w:sz="4" w:space="0" w:color="000000"/>
              <w:right w:val="single" w:sz="4" w:space="0" w:color="000000"/>
            </w:tcBorders>
            <w:vAlign w:val="center"/>
            <w:hideMark/>
          </w:tcPr>
          <w:p w14:paraId="16DDCA68" w14:textId="77777777" w:rsidR="002C3333" w:rsidRDefault="002C3333">
            <w:pPr>
              <w:rPr>
                <w:rFonts w:ascii="Calibri" w:eastAsia="Calibri" w:hAnsi="Calibri" w:cs="Calibri"/>
                <w:color w:val="000000"/>
              </w:rPr>
            </w:pPr>
          </w:p>
        </w:tc>
      </w:tr>
      <w:tr w:rsidR="002C3333" w14:paraId="5F05C7E2" w14:textId="77777777" w:rsidTr="002C3333">
        <w:trPr>
          <w:trHeight w:val="424"/>
        </w:trPr>
        <w:tc>
          <w:tcPr>
            <w:tcW w:w="2240" w:type="dxa"/>
            <w:tcBorders>
              <w:top w:val="single" w:sz="4" w:space="0" w:color="000000"/>
              <w:left w:val="single" w:sz="4" w:space="0" w:color="000000"/>
              <w:bottom w:val="single" w:sz="4" w:space="0" w:color="000000"/>
              <w:right w:val="single" w:sz="4" w:space="0" w:color="000000"/>
            </w:tcBorders>
            <w:hideMark/>
          </w:tcPr>
          <w:p w14:paraId="1089FF5E" w14:textId="77777777" w:rsidR="002C3333" w:rsidRDefault="002C3333">
            <w:pPr>
              <w:ind w:left="95"/>
            </w:pPr>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1916819B" w14:textId="77777777" w:rsidR="002C3333" w:rsidRDefault="002C3333">
            <w:pPr>
              <w:ind w:left="101"/>
            </w:pPr>
            <w:r>
              <w:rPr>
                <w:rFonts w:ascii="Times New Roman" w:eastAsia="Times New Roman" w:hAnsi="Times New Roman" w:cs="Times New Roman"/>
                <w:sz w:val="18"/>
              </w:rPr>
              <w:t xml:space="preserve">O.C., Oxycet, Oxycotton, Oxy, Hillbilly Heroin, Percs </w:t>
            </w:r>
          </w:p>
        </w:tc>
        <w:tc>
          <w:tcPr>
            <w:tcW w:w="0" w:type="auto"/>
            <w:vMerge/>
            <w:tcBorders>
              <w:top w:val="nil"/>
              <w:left w:val="single" w:sz="4" w:space="0" w:color="000000"/>
              <w:bottom w:val="single" w:sz="4" w:space="0" w:color="000000"/>
              <w:right w:val="single" w:sz="4" w:space="0" w:color="000000"/>
            </w:tcBorders>
            <w:vAlign w:val="center"/>
            <w:hideMark/>
          </w:tcPr>
          <w:p w14:paraId="0F76E397" w14:textId="77777777" w:rsidR="002C3333" w:rsidRDefault="002C3333">
            <w:pPr>
              <w:rPr>
                <w:rFonts w:ascii="Calibri" w:eastAsia="Calibri" w:hAnsi="Calibri" w:cs="Calibri"/>
                <w:color w:val="000000"/>
              </w:rPr>
            </w:pPr>
          </w:p>
        </w:tc>
      </w:tr>
      <w:tr w:rsidR="002C3333" w14:paraId="651AAEFD" w14:textId="77777777" w:rsidTr="002C3333">
        <w:trPr>
          <w:trHeight w:val="427"/>
        </w:trPr>
        <w:tc>
          <w:tcPr>
            <w:tcW w:w="2240" w:type="dxa"/>
            <w:tcBorders>
              <w:top w:val="single" w:sz="4" w:space="0" w:color="000000"/>
              <w:left w:val="single" w:sz="4" w:space="0" w:color="000000"/>
              <w:bottom w:val="single" w:sz="4" w:space="0" w:color="000000"/>
              <w:right w:val="single" w:sz="4" w:space="0" w:color="000000"/>
            </w:tcBorders>
            <w:hideMark/>
          </w:tcPr>
          <w:p w14:paraId="7BD2137F" w14:textId="77777777" w:rsidR="002C3333" w:rsidRDefault="002C3333">
            <w:pPr>
              <w:ind w:left="95"/>
            </w:pPr>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4542ECA4" w14:textId="77777777" w:rsidR="002C3333" w:rsidRDefault="002C3333">
            <w:pPr>
              <w:ind w:left="101"/>
            </w:pPr>
            <w:r>
              <w:rPr>
                <w:rFonts w:ascii="Times New Roman" w:eastAsia="Times New Roman" w:hAnsi="Times New Roman" w:cs="Times New Roman"/>
                <w:sz w:val="18"/>
              </w:rPr>
              <w:t xml:space="preserve">Oxycodone (OxyContin®, Percodan®, Percocet®, and others) </w:t>
            </w:r>
          </w:p>
        </w:tc>
        <w:tc>
          <w:tcPr>
            <w:tcW w:w="0" w:type="auto"/>
            <w:vMerge/>
            <w:tcBorders>
              <w:top w:val="nil"/>
              <w:left w:val="single" w:sz="4" w:space="0" w:color="000000"/>
              <w:bottom w:val="single" w:sz="4" w:space="0" w:color="000000"/>
              <w:right w:val="single" w:sz="4" w:space="0" w:color="000000"/>
            </w:tcBorders>
            <w:vAlign w:val="center"/>
            <w:hideMark/>
          </w:tcPr>
          <w:p w14:paraId="337D3302" w14:textId="77777777" w:rsidR="002C3333" w:rsidRDefault="002C3333">
            <w:pPr>
              <w:rPr>
                <w:rFonts w:ascii="Calibri" w:eastAsia="Calibri" w:hAnsi="Calibri" w:cs="Calibri"/>
                <w:color w:val="000000"/>
              </w:rPr>
            </w:pPr>
          </w:p>
        </w:tc>
      </w:tr>
      <w:tr w:rsidR="002C3333" w14:paraId="77815529"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4BB802E4" w14:textId="77777777" w:rsidR="002C3333" w:rsidRDefault="002C3333">
            <w:pPr>
              <w:ind w:left="95"/>
            </w:pPr>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6D53BCA4" w14:textId="77777777" w:rsidR="002C3333" w:rsidRDefault="002C3333">
            <w:pPr>
              <w:ind w:left="101"/>
            </w:pPr>
            <w:r>
              <w:rPr>
                <w:rFonts w:ascii="Times New Roman" w:eastAsia="Times New Roman" w:hAnsi="Times New Roman" w:cs="Times New Roman"/>
                <w:sz w:val="18"/>
              </w:rPr>
              <w:t xml:space="preserve">Capsule, liquid, tablet </w:t>
            </w:r>
          </w:p>
        </w:tc>
        <w:tc>
          <w:tcPr>
            <w:tcW w:w="0" w:type="auto"/>
            <w:vMerge/>
            <w:tcBorders>
              <w:top w:val="nil"/>
              <w:left w:val="single" w:sz="4" w:space="0" w:color="000000"/>
              <w:bottom w:val="single" w:sz="4" w:space="0" w:color="000000"/>
              <w:right w:val="single" w:sz="4" w:space="0" w:color="000000"/>
            </w:tcBorders>
            <w:vAlign w:val="center"/>
            <w:hideMark/>
          </w:tcPr>
          <w:p w14:paraId="4078DB49" w14:textId="77777777" w:rsidR="002C3333" w:rsidRDefault="002C3333">
            <w:pPr>
              <w:rPr>
                <w:rFonts w:ascii="Calibri" w:eastAsia="Calibri" w:hAnsi="Calibri" w:cs="Calibri"/>
                <w:color w:val="000000"/>
              </w:rPr>
            </w:pPr>
          </w:p>
        </w:tc>
      </w:tr>
      <w:tr w:rsidR="002C3333" w14:paraId="1EBFFDEE"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37ACF756" w14:textId="77777777" w:rsidR="002C3333" w:rsidRDefault="002C3333">
            <w:pPr>
              <w:ind w:left="95"/>
            </w:pPr>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01997863" w14:textId="77777777" w:rsidR="002C3333" w:rsidRDefault="002C3333">
            <w:pPr>
              <w:ind w:left="101"/>
            </w:pPr>
            <w:r>
              <w:rPr>
                <w:rFonts w:ascii="Times New Roman" w:eastAsia="Times New Roman" w:hAnsi="Times New Roman" w:cs="Times New Roman"/>
                <w:sz w:val="18"/>
              </w:rPr>
              <w:t xml:space="preserve">Swallowed, snorted, injected </w:t>
            </w:r>
          </w:p>
        </w:tc>
        <w:tc>
          <w:tcPr>
            <w:tcW w:w="0" w:type="auto"/>
            <w:vMerge/>
            <w:tcBorders>
              <w:top w:val="nil"/>
              <w:left w:val="single" w:sz="4" w:space="0" w:color="000000"/>
              <w:bottom w:val="single" w:sz="4" w:space="0" w:color="000000"/>
              <w:right w:val="single" w:sz="4" w:space="0" w:color="000000"/>
            </w:tcBorders>
            <w:vAlign w:val="center"/>
            <w:hideMark/>
          </w:tcPr>
          <w:p w14:paraId="77AC0EC8" w14:textId="77777777" w:rsidR="002C3333" w:rsidRDefault="002C3333">
            <w:pPr>
              <w:rPr>
                <w:rFonts w:ascii="Calibri" w:eastAsia="Calibri" w:hAnsi="Calibri" w:cs="Calibri"/>
                <w:color w:val="000000"/>
              </w:rPr>
            </w:pPr>
          </w:p>
        </w:tc>
      </w:tr>
      <w:tr w:rsidR="002C3333" w14:paraId="0FD16259" w14:textId="77777777" w:rsidTr="002C3333">
        <w:trPr>
          <w:trHeight w:val="217"/>
        </w:trPr>
        <w:tc>
          <w:tcPr>
            <w:tcW w:w="2240" w:type="dxa"/>
            <w:tcBorders>
              <w:top w:val="single" w:sz="4" w:space="0" w:color="000000"/>
              <w:left w:val="single" w:sz="4" w:space="0" w:color="000000"/>
              <w:bottom w:val="single" w:sz="4" w:space="0" w:color="000000"/>
              <w:right w:val="single" w:sz="4" w:space="0" w:color="000000"/>
            </w:tcBorders>
            <w:hideMark/>
          </w:tcPr>
          <w:p w14:paraId="467D486F" w14:textId="77777777" w:rsidR="002C3333" w:rsidRDefault="002C3333">
            <w:pPr>
              <w:ind w:left="95"/>
            </w:pPr>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4F50B446" w14:textId="77777777" w:rsidR="002C3333" w:rsidRDefault="002C3333">
            <w:pPr>
              <w:ind w:left="101"/>
            </w:pPr>
            <w:r>
              <w:rPr>
                <w:rFonts w:ascii="Times New Roman" w:eastAsia="Times New Roman" w:hAnsi="Times New Roman" w:cs="Times New Roman"/>
                <w:sz w:val="18"/>
              </w:rPr>
              <w:t xml:space="preserve">Schedule II </w:t>
            </w:r>
          </w:p>
        </w:tc>
        <w:tc>
          <w:tcPr>
            <w:tcW w:w="0" w:type="auto"/>
            <w:vMerge/>
            <w:tcBorders>
              <w:top w:val="nil"/>
              <w:left w:val="single" w:sz="4" w:space="0" w:color="000000"/>
              <w:bottom w:val="single" w:sz="4" w:space="0" w:color="000000"/>
              <w:right w:val="single" w:sz="4" w:space="0" w:color="000000"/>
            </w:tcBorders>
            <w:vAlign w:val="center"/>
            <w:hideMark/>
          </w:tcPr>
          <w:p w14:paraId="6620B51F" w14:textId="77777777" w:rsidR="002C3333" w:rsidRDefault="002C3333">
            <w:pPr>
              <w:rPr>
                <w:rFonts w:ascii="Calibri" w:eastAsia="Calibri" w:hAnsi="Calibri" w:cs="Calibri"/>
                <w:color w:val="000000"/>
              </w:rPr>
            </w:pPr>
          </w:p>
        </w:tc>
      </w:tr>
      <w:tr w:rsidR="002C3333" w14:paraId="1000F8ED" w14:textId="77777777" w:rsidTr="002C3333">
        <w:trPr>
          <w:trHeight w:val="214"/>
        </w:trPr>
        <w:tc>
          <w:tcPr>
            <w:tcW w:w="6199" w:type="dxa"/>
            <w:gridSpan w:val="2"/>
            <w:tcBorders>
              <w:top w:val="single" w:sz="4" w:space="0" w:color="000000"/>
              <w:left w:val="single" w:sz="4" w:space="0" w:color="000000"/>
              <w:bottom w:val="single" w:sz="4" w:space="0" w:color="000000"/>
              <w:right w:val="single" w:sz="4" w:space="0" w:color="000000"/>
            </w:tcBorders>
            <w:shd w:val="clear" w:color="auto" w:fill="E7E6E6"/>
            <w:hideMark/>
          </w:tcPr>
          <w:p w14:paraId="6EB69C03" w14:textId="77777777" w:rsidR="002C3333" w:rsidRDefault="002C3333">
            <w:pPr>
              <w:ind w:left="95"/>
            </w:pPr>
            <w:r>
              <w:rPr>
                <w:rFonts w:ascii="Times New Roman" w:eastAsia="Times New Roman" w:hAnsi="Times New Roman" w:cs="Times New Roman"/>
                <w:b/>
                <w:sz w:val="18"/>
              </w:rPr>
              <w:t>Prescription Opioids (continued)</w:t>
            </w:r>
            <w:r>
              <w:rPr>
                <w:rFonts w:ascii="Times New Roman" w:eastAsia="Times New Roman" w:hAnsi="Times New Roman" w:cs="Times New Roman"/>
                <w:sz w:val="18"/>
              </w:rPr>
              <w:t xml:space="preserve"> </w:t>
            </w:r>
          </w:p>
        </w:tc>
        <w:tc>
          <w:tcPr>
            <w:tcW w:w="0" w:type="auto"/>
            <w:vMerge/>
            <w:tcBorders>
              <w:top w:val="nil"/>
              <w:left w:val="single" w:sz="4" w:space="0" w:color="000000"/>
              <w:bottom w:val="single" w:sz="4" w:space="0" w:color="000000"/>
              <w:right w:val="single" w:sz="4" w:space="0" w:color="000000"/>
            </w:tcBorders>
            <w:vAlign w:val="center"/>
            <w:hideMark/>
          </w:tcPr>
          <w:p w14:paraId="6E8C1B52" w14:textId="77777777" w:rsidR="002C3333" w:rsidRDefault="002C3333">
            <w:pPr>
              <w:rPr>
                <w:rFonts w:ascii="Calibri" w:eastAsia="Calibri" w:hAnsi="Calibri" w:cs="Calibri"/>
                <w:color w:val="000000"/>
              </w:rPr>
            </w:pPr>
          </w:p>
        </w:tc>
      </w:tr>
      <w:tr w:rsidR="002C3333" w14:paraId="7F6C2669" w14:textId="77777777" w:rsidTr="002C3333">
        <w:trPr>
          <w:trHeight w:val="428"/>
        </w:trPr>
        <w:tc>
          <w:tcPr>
            <w:tcW w:w="2240" w:type="dxa"/>
            <w:tcBorders>
              <w:top w:val="single" w:sz="4" w:space="0" w:color="000000"/>
              <w:left w:val="single" w:sz="4" w:space="0" w:color="000000"/>
              <w:bottom w:val="single" w:sz="4" w:space="0" w:color="000000"/>
              <w:right w:val="single" w:sz="4" w:space="0" w:color="000000"/>
            </w:tcBorders>
            <w:hideMark/>
          </w:tcPr>
          <w:p w14:paraId="105A5160" w14:textId="77777777" w:rsidR="002C3333" w:rsidRDefault="002C3333">
            <w:pPr>
              <w:ind w:left="95"/>
            </w:pPr>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73F088F8" w14:textId="77777777" w:rsidR="002C3333" w:rsidRDefault="002C3333">
            <w:pPr>
              <w:ind w:left="101"/>
            </w:pPr>
            <w:r>
              <w:rPr>
                <w:rFonts w:ascii="Times New Roman" w:eastAsia="Times New Roman" w:hAnsi="Times New Roman" w:cs="Times New Roman"/>
                <w:sz w:val="18"/>
              </w:rPr>
              <w:t xml:space="preserve">Biscuits, Blue Heaven, Blues, Mrs. O, O Bomb, Octagons, Stop Signs </w:t>
            </w:r>
          </w:p>
        </w:tc>
        <w:tc>
          <w:tcPr>
            <w:tcW w:w="0" w:type="auto"/>
            <w:vMerge/>
            <w:tcBorders>
              <w:top w:val="nil"/>
              <w:left w:val="single" w:sz="4" w:space="0" w:color="000000"/>
              <w:bottom w:val="single" w:sz="4" w:space="0" w:color="000000"/>
              <w:right w:val="single" w:sz="4" w:space="0" w:color="000000"/>
            </w:tcBorders>
            <w:vAlign w:val="center"/>
            <w:hideMark/>
          </w:tcPr>
          <w:p w14:paraId="6DC37BAA" w14:textId="77777777" w:rsidR="002C3333" w:rsidRDefault="002C3333">
            <w:pPr>
              <w:rPr>
                <w:rFonts w:ascii="Calibri" w:eastAsia="Calibri" w:hAnsi="Calibri" w:cs="Calibri"/>
                <w:color w:val="000000"/>
              </w:rPr>
            </w:pPr>
          </w:p>
        </w:tc>
      </w:tr>
      <w:tr w:rsidR="002C3333" w14:paraId="6615B906"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730A7B82" w14:textId="77777777" w:rsidR="002C3333" w:rsidRDefault="002C3333">
            <w:pPr>
              <w:ind w:left="95"/>
            </w:pPr>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743123AF" w14:textId="77777777" w:rsidR="002C3333" w:rsidRDefault="002C3333">
            <w:pPr>
              <w:ind w:left="101"/>
            </w:pPr>
            <w:r>
              <w:rPr>
                <w:rFonts w:ascii="Times New Roman" w:eastAsia="Times New Roman" w:hAnsi="Times New Roman" w:cs="Times New Roman"/>
                <w:sz w:val="18"/>
              </w:rPr>
              <w:t xml:space="preserve">Oxymorphone (Opana®) </w:t>
            </w:r>
          </w:p>
        </w:tc>
        <w:tc>
          <w:tcPr>
            <w:tcW w:w="0" w:type="auto"/>
            <w:vMerge/>
            <w:tcBorders>
              <w:top w:val="nil"/>
              <w:left w:val="single" w:sz="4" w:space="0" w:color="000000"/>
              <w:bottom w:val="single" w:sz="4" w:space="0" w:color="000000"/>
              <w:right w:val="single" w:sz="4" w:space="0" w:color="000000"/>
            </w:tcBorders>
            <w:vAlign w:val="center"/>
            <w:hideMark/>
          </w:tcPr>
          <w:p w14:paraId="1C32DB59" w14:textId="77777777" w:rsidR="002C3333" w:rsidRDefault="002C3333">
            <w:pPr>
              <w:rPr>
                <w:rFonts w:ascii="Calibri" w:eastAsia="Calibri" w:hAnsi="Calibri" w:cs="Calibri"/>
                <w:color w:val="000000"/>
              </w:rPr>
            </w:pPr>
          </w:p>
        </w:tc>
      </w:tr>
      <w:tr w:rsidR="002C3333" w14:paraId="33FB195D"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6A681742" w14:textId="77777777" w:rsidR="002C3333" w:rsidRDefault="002C3333">
            <w:pPr>
              <w:ind w:left="95"/>
            </w:pPr>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36513763" w14:textId="77777777" w:rsidR="002C3333" w:rsidRDefault="002C3333">
            <w:pPr>
              <w:ind w:left="101"/>
            </w:pPr>
            <w:r>
              <w:rPr>
                <w:rFonts w:ascii="Times New Roman" w:eastAsia="Times New Roman" w:hAnsi="Times New Roman" w:cs="Times New Roman"/>
                <w:sz w:val="18"/>
              </w:rPr>
              <w:t xml:space="preserve">Tablet </w:t>
            </w:r>
          </w:p>
        </w:tc>
        <w:tc>
          <w:tcPr>
            <w:tcW w:w="0" w:type="auto"/>
            <w:vMerge/>
            <w:tcBorders>
              <w:top w:val="nil"/>
              <w:left w:val="single" w:sz="4" w:space="0" w:color="000000"/>
              <w:bottom w:val="single" w:sz="4" w:space="0" w:color="000000"/>
              <w:right w:val="single" w:sz="4" w:space="0" w:color="000000"/>
            </w:tcBorders>
            <w:vAlign w:val="center"/>
            <w:hideMark/>
          </w:tcPr>
          <w:p w14:paraId="64C6A6D5" w14:textId="77777777" w:rsidR="002C3333" w:rsidRDefault="002C3333">
            <w:pPr>
              <w:rPr>
                <w:rFonts w:ascii="Calibri" w:eastAsia="Calibri" w:hAnsi="Calibri" w:cs="Calibri"/>
                <w:color w:val="000000"/>
              </w:rPr>
            </w:pPr>
          </w:p>
        </w:tc>
      </w:tr>
      <w:tr w:rsidR="002C3333" w14:paraId="778F83AC"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4308D269" w14:textId="77777777" w:rsidR="002C3333" w:rsidRDefault="002C3333">
            <w:pPr>
              <w:ind w:left="95"/>
            </w:pPr>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447CE6E1" w14:textId="77777777" w:rsidR="002C3333" w:rsidRDefault="002C3333">
            <w:pPr>
              <w:ind w:left="101"/>
            </w:pPr>
            <w:r>
              <w:rPr>
                <w:rFonts w:ascii="Times New Roman" w:eastAsia="Times New Roman" w:hAnsi="Times New Roman" w:cs="Times New Roman"/>
                <w:sz w:val="18"/>
              </w:rPr>
              <w:t xml:space="preserve">Swallowed, snorted, injected </w:t>
            </w:r>
          </w:p>
        </w:tc>
        <w:tc>
          <w:tcPr>
            <w:tcW w:w="0" w:type="auto"/>
            <w:vMerge/>
            <w:tcBorders>
              <w:top w:val="nil"/>
              <w:left w:val="single" w:sz="4" w:space="0" w:color="000000"/>
              <w:bottom w:val="single" w:sz="4" w:space="0" w:color="000000"/>
              <w:right w:val="single" w:sz="4" w:space="0" w:color="000000"/>
            </w:tcBorders>
            <w:vAlign w:val="center"/>
            <w:hideMark/>
          </w:tcPr>
          <w:p w14:paraId="06B20C53" w14:textId="77777777" w:rsidR="002C3333" w:rsidRDefault="002C3333">
            <w:pPr>
              <w:rPr>
                <w:rFonts w:ascii="Calibri" w:eastAsia="Calibri" w:hAnsi="Calibri" w:cs="Calibri"/>
                <w:color w:val="000000"/>
              </w:rPr>
            </w:pPr>
          </w:p>
        </w:tc>
      </w:tr>
      <w:tr w:rsidR="002C3333" w14:paraId="3B62B611" w14:textId="77777777" w:rsidTr="002C3333">
        <w:trPr>
          <w:trHeight w:val="221"/>
        </w:trPr>
        <w:tc>
          <w:tcPr>
            <w:tcW w:w="2240" w:type="dxa"/>
            <w:tcBorders>
              <w:top w:val="single" w:sz="4" w:space="0" w:color="000000"/>
              <w:left w:val="single" w:sz="4" w:space="0" w:color="000000"/>
              <w:bottom w:val="single" w:sz="4" w:space="0" w:color="000000"/>
              <w:right w:val="single" w:sz="4" w:space="0" w:color="000000"/>
            </w:tcBorders>
            <w:hideMark/>
          </w:tcPr>
          <w:p w14:paraId="57BB4E2D" w14:textId="77777777" w:rsidR="002C3333" w:rsidRDefault="002C3333">
            <w:pPr>
              <w:ind w:left="95"/>
            </w:pPr>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47B2F561" w14:textId="77777777" w:rsidR="002C3333" w:rsidRDefault="002C3333">
            <w:pPr>
              <w:ind w:left="101"/>
            </w:pPr>
            <w:r>
              <w:rPr>
                <w:rFonts w:ascii="Times New Roman" w:eastAsia="Times New Roman" w:hAnsi="Times New Roman" w:cs="Times New Roman"/>
                <w:sz w:val="18"/>
              </w:rPr>
              <w:t xml:space="preserve">Schedule II </w:t>
            </w:r>
          </w:p>
        </w:tc>
        <w:tc>
          <w:tcPr>
            <w:tcW w:w="0" w:type="auto"/>
            <w:vMerge/>
            <w:tcBorders>
              <w:top w:val="nil"/>
              <w:left w:val="single" w:sz="4" w:space="0" w:color="000000"/>
              <w:bottom w:val="single" w:sz="4" w:space="0" w:color="000000"/>
              <w:right w:val="single" w:sz="4" w:space="0" w:color="000000"/>
            </w:tcBorders>
            <w:vAlign w:val="center"/>
            <w:hideMark/>
          </w:tcPr>
          <w:p w14:paraId="377C6CB2" w14:textId="77777777" w:rsidR="002C3333" w:rsidRDefault="002C3333">
            <w:pPr>
              <w:rPr>
                <w:rFonts w:ascii="Calibri" w:eastAsia="Calibri" w:hAnsi="Calibri" w:cs="Calibri"/>
                <w:color w:val="000000"/>
              </w:rPr>
            </w:pPr>
          </w:p>
        </w:tc>
      </w:tr>
    </w:tbl>
    <w:p w14:paraId="54EF7601" w14:textId="77777777" w:rsidR="002C3333" w:rsidRDefault="002C3333" w:rsidP="002C3333">
      <w:pPr>
        <w:spacing w:after="0"/>
        <w:ind w:left="5"/>
        <w:jc w:val="both"/>
        <w:rPr>
          <w:rFonts w:ascii="Calibri" w:eastAsia="Calibri" w:hAnsi="Calibri" w:cs="Calibri"/>
          <w:color w:val="000000"/>
          <w:kern w:val="2"/>
          <w:sz w:val="22"/>
          <w14:ligatures w14:val="standardContextual"/>
        </w:rPr>
      </w:pPr>
      <w:r>
        <w:tab/>
      </w:r>
    </w:p>
    <w:tbl>
      <w:tblPr>
        <w:tblStyle w:val="TableGrid0"/>
        <w:tblW w:w="10170" w:type="dxa"/>
        <w:tblInd w:w="-5" w:type="dxa"/>
        <w:tblCellMar>
          <w:top w:w="5" w:type="dxa"/>
          <w:left w:w="11" w:type="dxa"/>
          <w:right w:w="86" w:type="dxa"/>
        </w:tblCellMar>
        <w:tblLook w:val="04A0" w:firstRow="1" w:lastRow="0" w:firstColumn="1" w:lastColumn="0" w:noHBand="0" w:noVBand="1"/>
      </w:tblPr>
      <w:tblGrid>
        <w:gridCol w:w="2240"/>
        <w:gridCol w:w="3959"/>
        <w:gridCol w:w="3971"/>
      </w:tblGrid>
      <w:tr w:rsidR="002C3333" w14:paraId="587B1906" w14:textId="77777777" w:rsidTr="002C3333">
        <w:trPr>
          <w:trHeight w:val="214"/>
        </w:trPr>
        <w:tc>
          <w:tcPr>
            <w:tcW w:w="6199" w:type="dxa"/>
            <w:gridSpan w:val="2"/>
            <w:tcBorders>
              <w:top w:val="single" w:sz="4" w:space="0" w:color="000000"/>
              <w:left w:val="single" w:sz="4" w:space="0" w:color="000000"/>
              <w:bottom w:val="single" w:sz="4" w:space="0" w:color="000000"/>
              <w:right w:val="single" w:sz="4" w:space="0" w:color="000000"/>
            </w:tcBorders>
            <w:shd w:val="clear" w:color="auto" w:fill="A6B4E4" w:themeFill="text2" w:themeFillTint="40"/>
            <w:hideMark/>
          </w:tcPr>
          <w:p w14:paraId="018ED750" w14:textId="77777777" w:rsidR="002C3333" w:rsidRDefault="002C3333">
            <w:r>
              <w:rPr>
                <w:rFonts w:ascii="Times New Roman" w:eastAsia="Times New Roman" w:hAnsi="Times New Roman" w:cs="Times New Roman"/>
                <w:b/>
                <w:sz w:val="18"/>
              </w:rPr>
              <w:t>Prescription Sedatives</w:t>
            </w:r>
            <w:r>
              <w:rPr>
                <w:rFonts w:ascii="Times New Roman" w:eastAsia="Times New Roman" w:hAnsi="Times New Roman" w:cs="Times New Roman"/>
                <w:sz w:val="18"/>
              </w:rPr>
              <w:t xml:space="preserve"> </w:t>
            </w:r>
          </w:p>
        </w:tc>
        <w:tc>
          <w:tcPr>
            <w:tcW w:w="3971" w:type="dxa"/>
            <w:vMerge w:val="restart"/>
            <w:tcBorders>
              <w:top w:val="single" w:sz="4" w:space="0" w:color="000000"/>
              <w:left w:val="single" w:sz="4" w:space="0" w:color="000000"/>
              <w:bottom w:val="nil"/>
              <w:right w:val="single" w:sz="4" w:space="0" w:color="000000"/>
            </w:tcBorders>
            <w:hideMark/>
          </w:tcPr>
          <w:p w14:paraId="5FE6CE75" w14:textId="77777777" w:rsidR="002C3333" w:rsidRDefault="002C3333">
            <w:pPr>
              <w:ind w:left="7"/>
            </w:pPr>
            <w:r>
              <w:rPr>
                <w:rFonts w:ascii="Times New Roman" w:eastAsia="Times New Roman" w:hAnsi="Times New Roman" w:cs="Times New Roman"/>
                <w:b/>
                <w:sz w:val="18"/>
              </w:rPr>
              <w:t>Possible Health Effects:</w:t>
            </w:r>
            <w:r>
              <w:rPr>
                <w:rFonts w:ascii="Times New Roman" w:eastAsia="Times New Roman" w:hAnsi="Times New Roman" w:cs="Times New Roman"/>
                <w:sz w:val="18"/>
              </w:rPr>
              <w:t xml:space="preserve"> </w:t>
            </w:r>
          </w:p>
          <w:p w14:paraId="348B59C3" w14:textId="77777777" w:rsidR="002C3333" w:rsidRDefault="002C3333">
            <w:pPr>
              <w:spacing w:line="242" w:lineRule="auto"/>
              <w:ind w:left="7" w:right="9"/>
            </w:pPr>
            <w:r>
              <w:rPr>
                <w:rFonts w:ascii="Times New Roman" w:eastAsia="Times New Roman" w:hAnsi="Times New Roman" w:cs="Times New Roman"/>
                <w:sz w:val="18"/>
                <w:u w:val="single" w:color="000000"/>
              </w:rPr>
              <w:t>Short-Term</w:t>
            </w:r>
            <w:r>
              <w:rPr>
                <w:rFonts w:ascii="Times New Roman" w:eastAsia="Times New Roman" w:hAnsi="Times New Roman" w:cs="Times New Roman"/>
                <w:sz w:val="18"/>
              </w:rPr>
              <w:t xml:space="preserve">: Drowsiness, slurred speech, poor concentration, confusion, dizziness, problems with movement and memory, lowered blood pressure, slowed breathing. </w:t>
            </w:r>
          </w:p>
          <w:p w14:paraId="60FF6B6C" w14:textId="77777777" w:rsidR="002C3333" w:rsidRDefault="002C3333">
            <w:pPr>
              <w:ind w:left="7"/>
            </w:pPr>
            <w:r>
              <w:rPr>
                <w:rFonts w:ascii="Times New Roman" w:eastAsia="Times New Roman" w:hAnsi="Times New Roman" w:cs="Times New Roman"/>
                <w:sz w:val="18"/>
                <w:u w:val="single" w:color="000000"/>
              </w:rPr>
              <w:t xml:space="preserve">Long-Term: </w:t>
            </w:r>
            <w:r>
              <w:rPr>
                <w:rFonts w:ascii="Times New Roman" w:eastAsia="Times New Roman" w:hAnsi="Times New Roman" w:cs="Times New Roman"/>
                <w:sz w:val="18"/>
              </w:rPr>
              <w:t xml:space="preserve">Unknown. </w:t>
            </w:r>
          </w:p>
          <w:p w14:paraId="41C9096B" w14:textId="2F1E4B64" w:rsidR="002C3333" w:rsidRDefault="002C3333">
            <w:pPr>
              <w:ind w:left="7"/>
            </w:pPr>
            <w:r>
              <w:rPr>
                <w:rFonts w:ascii="Times New Roman" w:eastAsia="Times New Roman" w:hAnsi="Times New Roman" w:cs="Times New Roman"/>
                <w:sz w:val="18"/>
                <w:u w:val="single" w:color="000000"/>
              </w:rPr>
              <w:t xml:space="preserve">Other Health-Related Issues: </w:t>
            </w:r>
            <w:r>
              <w:rPr>
                <w:rFonts w:ascii="Times New Roman" w:eastAsia="Times New Roman" w:hAnsi="Times New Roman" w:cs="Times New Roman"/>
                <w:sz w:val="18"/>
              </w:rPr>
              <w:t xml:space="preserve">Sleep medications are sometimes used as date rape drugs. Risk of HIV, hepatitis, and other infectious diseases from shared needles. In combination with alcohol, sedatives further slows heart rate </w:t>
            </w:r>
            <w:r w:rsidR="00AC137F">
              <w:rPr>
                <w:rFonts w:ascii="Times New Roman" w:eastAsia="Times New Roman" w:hAnsi="Times New Roman" w:cs="Times New Roman"/>
                <w:sz w:val="18"/>
              </w:rPr>
              <w:t>and breaking</w:t>
            </w:r>
            <w:r>
              <w:rPr>
                <w:rFonts w:ascii="Times New Roman" w:eastAsia="Times New Roman" w:hAnsi="Times New Roman" w:cs="Times New Roman"/>
                <w:sz w:val="18"/>
              </w:rPr>
              <w:t xml:space="preserve">, which can lead to death. Withdrawal symptoms should be discussed with a doctor but can lead to seizures. </w:t>
            </w:r>
          </w:p>
        </w:tc>
      </w:tr>
      <w:tr w:rsidR="002C3333" w14:paraId="38750FF6" w14:textId="77777777" w:rsidTr="002C3333">
        <w:trPr>
          <w:trHeight w:val="428"/>
        </w:trPr>
        <w:tc>
          <w:tcPr>
            <w:tcW w:w="2240" w:type="dxa"/>
            <w:tcBorders>
              <w:top w:val="single" w:sz="4" w:space="0" w:color="000000"/>
              <w:left w:val="single" w:sz="4" w:space="0" w:color="000000"/>
              <w:bottom w:val="single" w:sz="4" w:space="0" w:color="000000"/>
              <w:right w:val="single" w:sz="4" w:space="0" w:color="000000"/>
            </w:tcBorders>
            <w:hideMark/>
          </w:tcPr>
          <w:p w14:paraId="057BDC24" w14:textId="77777777" w:rsidR="002C3333" w:rsidRDefault="002C3333">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7BB90633" w14:textId="77777777" w:rsidR="002C3333" w:rsidRDefault="002C3333">
            <w:pPr>
              <w:ind w:left="6"/>
            </w:pPr>
            <w:r>
              <w:rPr>
                <w:rFonts w:ascii="Times New Roman" w:eastAsia="Times New Roman" w:hAnsi="Times New Roman" w:cs="Times New Roman"/>
                <w:sz w:val="18"/>
              </w:rPr>
              <w:t xml:space="preserve">Barbs, Phennies, Red Birds, Reds, Tooies, Yellow Jackets, Yellows </w:t>
            </w:r>
          </w:p>
        </w:tc>
        <w:tc>
          <w:tcPr>
            <w:tcW w:w="0" w:type="auto"/>
            <w:vMerge/>
            <w:tcBorders>
              <w:top w:val="single" w:sz="4" w:space="0" w:color="000000"/>
              <w:left w:val="single" w:sz="4" w:space="0" w:color="000000"/>
              <w:bottom w:val="nil"/>
              <w:right w:val="single" w:sz="4" w:space="0" w:color="000000"/>
            </w:tcBorders>
            <w:vAlign w:val="center"/>
            <w:hideMark/>
          </w:tcPr>
          <w:p w14:paraId="042FCA6B" w14:textId="77777777" w:rsidR="002C3333" w:rsidRDefault="002C3333">
            <w:pPr>
              <w:rPr>
                <w:rFonts w:ascii="Calibri" w:eastAsia="Calibri" w:hAnsi="Calibri" w:cs="Calibri"/>
                <w:color w:val="000000"/>
              </w:rPr>
            </w:pPr>
          </w:p>
        </w:tc>
      </w:tr>
      <w:tr w:rsidR="002C3333" w14:paraId="2E293D62" w14:textId="77777777" w:rsidTr="002C3333">
        <w:trPr>
          <w:trHeight w:val="422"/>
        </w:trPr>
        <w:tc>
          <w:tcPr>
            <w:tcW w:w="2240" w:type="dxa"/>
            <w:tcBorders>
              <w:top w:val="single" w:sz="4" w:space="0" w:color="000000"/>
              <w:left w:val="single" w:sz="4" w:space="0" w:color="000000"/>
              <w:bottom w:val="single" w:sz="4" w:space="0" w:color="000000"/>
              <w:right w:val="single" w:sz="4" w:space="0" w:color="000000"/>
            </w:tcBorders>
            <w:hideMark/>
          </w:tcPr>
          <w:p w14:paraId="7DF226D5" w14:textId="77777777" w:rsidR="002C3333" w:rsidRDefault="002C3333">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4DC8AABF" w14:textId="77777777" w:rsidR="002C3333" w:rsidRDefault="002C3333">
            <w:pPr>
              <w:ind w:left="6"/>
            </w:pPr>
            <w:r>
              <w:rPr>
                <w:rFonts w:ascii="Times New Roman" w:eastAsia="Times New Roman" w:hAnsi="Times New Roman" w:cs="Times New Roman"/>
                <w:sz w:val="18"/>
              </w:rPr>
              <w:t xml:space="preserve">Barbiturates: pentobarbital (Nembutal®), phenobarbital (Luminal®) </w:t>
            </w:r>
          </w:p>
        </w:tc>
        <w:tc>
          <w:tcPr>
            <w:tcW w:w="0" w:type="auto"/>
            <w:vMerge/>
            <w:tcBorders>
              <w:top w:val="single" w:sz="4" w:space="0" w:color="000000"/>
              <w:left w:val="single" w:sz="4" w:space="0" w:color="000000"/>
              <w:bottom w:val="nil"/>
              <w:right w:val="single" w:sz="4" w:space="0" w:color="000000"/>
            </w:tcBorders>
            <w:vAlign w:val="center"/>
            <w:hideMark/>
          </w:tcPr>
          <w:p w14:paraId="264B347C" w14:textId="77777777" w:rsidR="002C3333" w:rsidRDefault="002C3333">
            <w:pPr>
              <w:rPr>
                <w:rFonts w:ascii="Calibri" w:eastAsia="Calibri" w:hAnsi="Calibri" w:cs="Calibri"/>
                <w:color w:val="000000"/>
              </w:rPr>
            </w:pPr>
          </w:p>
        </w:tc>
      </w:tr>
      <w:tr w:rsidR="002C3333" w14:paraId="17FE9BDD"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7F24A540" w14:textId="77777777" w:rsidR="002C3333" w:rsidRDefault="002C3333">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3BE4817C" w14:textId="77777777" w:rsidR="002C3333" w:rsidRDefault="002C3333">
            <w:pPr>
              <w:ind w:left="6"/>
            </w:pPr>
            <w:r>
              <w:rPr>
                <w:rFonts w:ascii="Times New Roman" w:eastAsia="Times New Roman" w:hAnsi="Times New Roman" w:cs="Times New Roman"/>
                <w:sz w:val="18"/>
              </w:rPr>
              <w:t xml:space="preserve">Pill, capsule, liquid </w:t>
            </w:r>
          </w:p>
        </w:tc>
        <w:tc>
          <w:tcPr>
            <w:tcW w:w="0" w:type="auto"/>
            <w:vMerge/>
            <w:tcBorders>
              <w:top w:val="single" w:sz="4" w:space="0" w:color="000000"/>
              <w:left w:val="single" w:sz="4" w:space="0" w:color="000000"/>
              <w:bottom w:val="nil"/>
              <w:right w:val="single" w:sz="4" w:space="0" w:color="000000"/>
            </w:tcBorders>
            <w:vAlign w:val="center"/>
            <w:hideMark/>
          </w:tcPr>
          <w:p w14:paraId="484847FD" w14:textId="77777777" w:rsidR="002C3333" w:rsidRDefault="002C3333">
            <w:pPr>
              <w:rPr>
                <w:rFonts w:ascii="Calibri" w:eastAsia="Calibri" w:hAnsi="Calibri" w:cs="Calibri"/>
                <w:color w:val="000000"/>
              </w:rPr>
            </w:pPr>
          </w:p>
        </w:tc>
      </w:tr>
      <w:tr w:rsidR="002C3333" w14:paraId="62895305"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1DAE36CB" w14:textId="77777777" w:rsidR="002C3333" w:rsidRDefault="002C3333">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3F78C47E" w14:textId="77777777" w:rsidR="002C3333" w:rsidRDefault="002C3333">
            <w:pPr>
              <w:ind w:left="6"/>
            </w:pPr>
            <w:r>
              <w:rPr>
                <w:rFonts w:ascii="Times New Roman" w:eastAsia="Times New Roman" w:hAnsi="Times New Roman" w:cs="Times New Roman"/>
                <w:sz w:val="18"/>
              </w:rPr>
              <w:t xml:space="preserve">Swallowed, injected </w:t>
            </w:r>
          </w:p>
        </w:tc>
        <w:tc>
          <w:tcPr>
            <w:tcW w:w="0" w:type="auto"/>
            <w:vMerge/>
            <w:tcBorders>
              <w:top w:val="single" w:sz="4" w:space="0" w:color="000000"/>
              <w:left w:val="single" w:sz="4" w:space="0" w:color="000000"/>
              <w:bottom w:val="nil"/>
              <w:right w:val="single" w:sz="4" w:space="0" w:color="000000"/>
            </w:tcBorders>
            <w:vAlign w:val="center"/>
            <w:hideMark/>
          </w:tcPr>
          <w:p w14:paraId="1716D8D6" w14:textId="77777777" w:rsidR="002C3333" w:rsidRDefault="002C3333">
            <w:pPr>
              <w:rPr>
                <w:rFonts w:ascii="Calibri" w:eastAsia="Calibri" w:hAnsi="Calibri" w:cs="Calibri"/>
                <w:color w:val="000000"/>
              </w:rPr>
            </w:pPr>
          </w:p>
        </w:tc>
      </w:tr>
      <w:tr w:rsidR="002C3333" w14:paraId="7FACCF9E" w14:textId="77777777" w:rsidTr="002C3333">
        <w:trPr>
          <w:trHeight w:val="428"/>
        </w:trPr>
        <w:tc>
          <w:tcPr>
            <w:tcW w:w="2240" w:type="dxa"/>
            <w:tcBorders>
              <w:top w:val="single" w:sz="4" w:space="0" w:color="000000"/>
              <w:left w:val="single" w:sz="4" w:space="0" w:color="000000"/>
              <w:bottom w:val="single" w:sz="4" w:space="0" w:color="000000"/>
              <w:right w:val="single" w:sz="4" w:space="0" w:color="000000"/>
            </w:tcBorders>
            <w:hideMark/>
          </w:tcPr>
          <w:p w14:paraId="4942D962" w14:textId="77777777" w:rsidR="002C3333" w:rsidRDefault="002C3333">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tcPr>
          <w:p w14:paraId="249A5407" w14:textId="77777777" w:rsidR="002C3333" w:rsidRDefault="002C3333">
            <w:pPr>
              <w:ind w:left="6"/>
              <w:rPr>
                <w:rFonts w:ascii="Times New Roman" w:eastAsia="Times New Roman" w:hAnsi="Times New Roman" w:cs="Times New Roman"/>
                <w:sz w:val="18"/>
              </w:rPr>
            </w:pPr>
            <w:r>
              <w:rPr>
                <w:rFonts w:ascii="Times New Roman" w:eastAsia="Times New Roman" w:hAnsi="Times New Roman" w:cs="Times New Roman"/>
                <w:sz w:val="18"/>
              </w:rPr>
              <w:t xml:space="preserve">Schedule II, III, IV </w:t>
            </w:r>
          </w:p>
          <w:p w14:paraId="4F9658B3" w14:textId="77777777" w:rsidR="002C3333" w:rsidRDefault="002C3333">
            <w:pPr>
              <w:ind w:left="6"/>
              <w:rPr>
                <w:rFonts w:ascii="Calibri" w:eastAsia="Calibri" w:hAnsi="Calibri" w:cs="Calibri"/>
              </w:rPr>
            </w:pPr>
          </w:p>
        </w:tc>
        <w:tc>
          <w:tcPr>
            <w:tcW w:w="0" w:type="auto"/>
            <w:vMerge/>
            <w:tcBorders>
              <w:top w:val="single" w:sz="4" w:space="0" w:color="000000"/>
              <w:left w:val="single" w:sz="4" w:space="0" w:color="000000"/>
              <w:bottom w:val="nil"/>
              <w:right w:val="single" w:sz="4" w:space="0" w:color="000000"/>
            </w:tcBorders>
            <w:vAlign w:val="center"/>
            <w:hideMark/>
          </w:tcPr>
          <w:p w14:paraId="55D5A1CB" w14:textId="77777777" w:rsidR="002C3333" w:rsidRDefault="002C3333">
            <w:pPr>
              <w:rPr>
                <w:rFonts w:ascii="Calibri" w:eastAsia="Calibri" w:hAnsi="Calibri" w:cs="Calibri"/>
                <w:color w:val="000000"/>
              </w:rPr>
            </w:pPr>
          </w:p>
        </w:tc>
      </w:tr>
      <w:tr w:rsidR="002C3333" w14:paraId="7412BBCF" w14:textId="77777777" w:rsidTr="002C3333">
        <w:trPr>
          <w:trHeight w:val="214"/>
        </w:trPr>
        <w:tc>
          <w:tcPr>
            <w:tcW w:w="6199" w:type="dxa"/>
            <w:gridSpan w:val="2"/>
            <w:tcBorders>
              <w:top w:val="single" w:sz="4" w:space="0" w:color="000000"/>
              <w:left w:val="single" w:sz="4" w:space="0" w:color="000000"/>
              <w:bottom w:val="single" w:sz="4" w:space="0" w:color="000000"/>
              <w:right w:val="single" w:sz="4" w:space="0" w:color="000000"/>
            </w:tcBorders>
            <w:shd w:val="clear" w:color="auto" w:fill="E7E6E6"/>
            <w:hideMark/>
          </w:tcPr>
          <w:p w14:paraId="23A5EFAA" w14:textId="77777777" w:rsidR="002C3333" w:rsidRDefault="002C3333">
            <w:r>
              <w:rPr>
                <w:rFonts w:ascii="Times New Roman" w:eastAsia="Times New Roman" w:hAnsi="Times New Roman" w:cs="Times New Roman"/>
                <w:b/>
                <w:sz w:val="18"/>
              </w:rPr>
              <w:t>Prescription Sedatives (continued)</w:t>
            </w:r>
            <w:r>
              <w:rPr>
                <w:rFonts w:ascii="Times New Roman" w:eastAsia="Times New Roman" w:hAnsi="Times New Roman" w:cs="Times New Roman"/>
                <w:sz w:val="18"/>
              </w:rPr>
              <w:t xml:space="preserve"> </w:t>
            </w:r>
          </w:p>
        </w:tc>
        <w:tc>
          <w:tcPr>
            <w:tcW w:w="0" w:type="auto"/>
            <w:vMerge/>
            <w:tcBorders>
              <w:top w:val="single" w:sz="4" w:space="0" w:color="000000"/>
              <w:left w:val="single" w:sz="4" w:space="0" w:color="000000"/>
              <w:bottom w:val="nil"/>
              <w:right w:val="single" w:sz="4" w:space="0" w:color="000000"/>
            </w:tcBorders>
            <w:vAlign w:val="center"/>
            <w:hideMark/>
          </w:tcPr>
          <w:p w14:paraId="2FE80BA0" w14:textId="77777777" w:rsidR="002C3333" w:rsidRDefault="002C3333">
            <w:pPr>
              <w:rPr>
                <w:rFonts w:ascii="Calibri" w:eastAsia="Calibri" w:hAnsi="Calibri" w:cs="Calibri"/>
                <w:color w:val="000000"/>
              </w:rPr>
            </w:pPr>
          </w:p>
        </w:tc>
      </w:tr>
      <w:tr w:rsidR="002C3333" w14:paraId="67166038" w14:textId="77777777" w:rsidTr="002C3333">
        <w:trPr>
          <w:trHeight w:val="217"/>
        </w:trPr>
        <w:tc>
          <w:tcPr>
            <w:tcW w:w="2240" w:type="dxa"/>
            <w:tcBorders>
              <w:top w:val="single" w:sz="4" w:space="0" w:color="000000"/>
              <w:left w:val="single" w:sz="4" w:space="0" w:color="000000"/>
              <w:bottom w:val="single" w:sz="4" w:space="0" w:color="000000"/>
              <w:right w:val="single" w:sz="4" w:space="0" w:color="000000"/>
            </w:tcBorders>
            <w:hideMark/>
          </w:tcPr>
          <w:p w14:paraId="0DBBE75E" w14:textId="77777777" w:rsidR="002C3333" w:rsidRDefault="002C3333">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7CA7BBAA" w14:textId="77777777" w:rsidR="002C3333" w:rsidRDefault="002C3333">
            <w:pPr>
              <w:ind w:left="6"/>
            </w:pPr>
            <w:r>
              <w:rPr>
                <w:rFonts w:ascii="Times New Roman" w:eastAsia="Times New Roman" w:hAnsi="Times New Roman" w:cs="Times New Roman"/>
                <w:sz w:val="18"/>
              </w:rPr>
              <w:t xml:space="preserve">Candy, Downers, Sleeping Pills, Tranks </w:t>
            </w:r>
          </w:p>
        </w:tc>
        <w:tc>
          <w:tcPr>
            <w:tcW w:w="0" w:type="auto"/>
            <w:vMerge/>
            <w:tcBorders>
              <w:top w:val="single" w:sz="4" w:space="0" w:color="000000"/>
              <w:left w:val="single" w:sz="4" w:space="0" w:color="000000"/>
              <w:bottom w:val="nil"/>
              <w:right w:val="single" w:sz="4" w:space="0" w:color="000000"/>
            </w:tcBorders>
            <w:vAlign w:val="center"/>
            <w:hideMark/>
          </w:tcPr>
          <w:p w14:paraId="49D763A4" w14:textId="77777777" w:rsidR="002C3333" w:rsidRDefault="002C3333">
            <w:pPr>
              <w:rPr>
                <w:rFonts w:ascii="Calibri" w:eastAsia="Calibri" w:hAnsi="Calibri" w:cs="Calibri"/>
                <w:color w:val="000000"/>
              </w:rPr>
            </w:pPr>
          </w:p>
        </w:tc>
      </w:tr>
      <w:tr w:rsidR="002C3333" w14:paraId="23B43A64" w14:textId="77777777" w:rsidTr="002C3333">
        <w:trPr>
          <w:trHeight w:val="840"/>
        </w:trPr>
        <w:tc>
          <w:tcPr>
            <w:tcW w:w="2240" w:type="dxa"/>
            <w:tcBorders>
              <w:top w:val="single" w:sz="4" w:space="0" w:color="000000"/>
              <w:left w:val="single" w:sz="4" w:space="0" w:color="000000"/>
              <w:bottom w:val="single" w:sz="4" w:space="0" w:color="000000"/>
              <w:right w:val="single" w:sz="4" w:space="0" w:color="000000"/>
            </w:tcBorders>
            <w:hideMark/>
          </w:tcPr>
          <w:p w14:paraId="607635C9" w14:textId="77777777" w:rsidR="002C3333" w:rsidRDefault="002C3333">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31FA3A02" w14:textId="77777777" w:rsidR="002C3333" w:rsidRDefault="002C3333">
            <w:pPr>
              <w:ind w:left="6"/>
            </w:pPr>
            <w:r>
              <w:rPr>
                <w:rFonts w:ascii="Times New Roman" w:eastAsia="Times New Roman" w:hAnsi="Times New Roman" w:cs="Times New Roman"/>
                <w:sz w:val="18"/>
              </w:rPr>
              <w:t xml:space="preserve">Benzodiazepines: alprazolam (Xanax®), chlorodiazepoxide (Limbitrol®), diazepam (Valium®), lorazepam (Ativan®), triazolam (Halicon®) </w:t>
            </w:r>
          </w:p>
        </w:tc>
        <w:tc>
          <w:tcPr>
            <w:tcW w:w="0" w:type="auto"/>
            <w:vMerge/>
            <w:tcBorders>
              <w:top w:val="single" w:sz="4" w:space="0" w:color="000000"/>
              <w:left w:val="single" w:sz="4" w:space="0" w:color="000000"/>
              <w:bottom w:val="nil"/>
              <w:right w:val="single" w:sz="4" w:space="0" w:color="000000"/>
            </w:tcBorders>
            <w:vAlign w:val="center"/>
            <w:hideMark/>
          </w:tcPr>
          <w:p w14:paraId="67903E55" w14:textId="77777777" w:rsidR="002C3333" w:rsidRDefault="002C3333">
            <w:pPr>
              <w:rPr>
                <w:rFonts w:ascii="Calibri" w:eastAsia="Calibri" w:hAnsi="Calibri" w:cs="Calibri"/>
                <w:color w:val="000000"/>
              </w:rPr>
            </w:pPr>
          </w:p>
        </w:tc>
      </w:tr>
      <w:tr w:rsidR="002C3333" w14:paraId="31BAEF0A"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5430DD4D" w14:textId="77777777" w:rsidR="002C3333" w:rsidRDefault="002C3333">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71A6BE0B" w14:textId="77777777" w:rsidR="002C3333" w:rsidRDefault="002C3333">
            <w:pPr>
              <w:ind w:left="6"/>
            </w:pPr>
            <w:r>
              <w:rPr>
                <w:rFonts w:ascii="Times New Roman" w:eastAsia="Times New Roman" w:hAnsi="Times New Roman" w:cs="Times New Roman"/>
                <w:sz w:val="18"/>
              </w:rPr>
              <w:t xml:space="preserve">Pill, capsule, liquid </w:t>
            </w:r>
          </w:p>
        </w:tc>
        <w:tc>
          <w:tcPr>
            <w:tcW w:w="0" w:type="auto"/>
            <w:vMerge/>
            <w:tcBorders>
              <w:top w:val="single" w:sz="4" w:space="0" w:color="000000"/>
              <w:left w:val="single" w:sz="4" w:space="0" w:color="000000"/>
              <w:bottom w:val="nil"/>
              <w:right w:val="single" w:sz="4" w:space="0" w:color="000000"/>
            </w:tcBorders>
            <w:vAlign w:val="center"/>
            <w:hideMark/>
          </w:tcPr>
          <w:p w14:paraId="24D59B7E" w14:textId="77777777" w:rsidR="002C3333" w:rsidRDefault="002C3333">
            <w:pPr>
              <w:rPr>
                <w:rFonts w:ascii="Calibri" w:eastAsia="Calibri" w:hAnsi="Calibri" w:cs="Calibri"/>
                <w:color w:val="000000"/>
              </w:rPr>
            </w:pPr>
          </w:p>
        </w:tc>
      </w:tr>
      <w:tr w:rsidR="002C3333" w14:paraId="4E3A6C07"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6B712A4C" w14:textId="77777777" w:rsidR="002C3333" w:rsidRDefault="002C3333">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6F709360" w14:textId="77777777" w:rsidR="002C3333" w:rsidRDefault="002C3333">
            <w:pPr>
              <w:ind w:left="6"/>
            </w:pPr>
            <w:r>
              <w:rPr>
                <w:rFonts w:ascii="Times New Roman" w:eastAsia="Times New Roman" w:hAnsi="Times New Roman" w:cs="Times New Roman"/>
                <w:sz w:val="18"/>
              </w:rPr>
              <w:t xml:space="preserve">Swallowed, injected </w:t>
            </w:r>
          </w:p>
        </w:tc>
        <w:tc>
          <w:tcPr>
            <w:tcW w:w="0" w:type="auto"/>
            <w:vMerge/>
            <w:tcBorders>
              <w:top w:val="single" w:sz="4" w:space="0" w:color="000000"/>
              <w:left w:val="single" w:sz="4" w:space="0" w:color="000000"/>
              <w:bottom w:val="nil"/>
              <w:right w:val="single" w:sz="4" w:space="0" w:color="000000"/>
            </w:tcBorders>
            <w:vAlign w:val="center"/>
            <w:hideMark/>
          </w:tcPr>
          <w:p w14:paraId="4CD2CE1F" w14:textId="77777777" w:rsidR="002C3333" w:rsidRDefault="002C3333">
            <w:pPr>
              <w:rPr>
                <w:rFonts w:ascii="Calibri" w:eastAsia="Calibri" w:hAnsi="Calibri" w:cs="Calibri"/>
                <w:color w:val="000000"/>
              </w:rPr>
            </w:pPr>
          </w:p>
        </w:tc>
      </w:tr>
      <w:tr w:rsidR="002C3333" w14:paraId="02B2ADD7" w14:textId="77777777" w:rsidTr="002C3333">
        <w:trPr>
          <w:trHeight w:val="217"/>
        </w:trPr>
        <w:tc>
          <w:tcPr>
            <w:tcW w:w="2240" w:type="dxa"/>
            <w:tcBorders>
              <w:top w:val="single" w:sz="4" w:space="0" w:color="000000"/>
              <w:left w:val="single" w:sz="4" w:space="0" w:color="000000"/>
              <w:bottom w:val="single" w:sz="4" w:space="0" w:color="000000"/>
              <w:right w:val="single" w:sz="4" w:space="0" w:color="000000"/>
            </w:tcBorders>
            <w:hideMark/>
          </w:tcPr>
          <w:p w14:paraId="324F308B" w14:textId="77777777" w:rsidR="002C3333" w:rsidRDefault="002C3333">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230622D5" w14:textId="77777777" w:rsidR="002C3333" w:rsidRDefault="002C3333">
            <w:pPr>
              <w:ind w:left="6"/>
            </w:pPr>
            <w:r>
              <w:rPr>
                <w:rFonts w:ascii="Times New Roman" w:eastAsia="Times New Roman" w:hAnsi="Times New Roman" w:cs="Times New Roman"/>
                <w:sz w:val="18"/>
              </w:rPr>
              <w:t xml:space="preserve">Schedule IV </w:t>
            </w:r>
          </w:p>
        </w:tc>
        <w:tc>
          <w:tcPr>
            <w:tcW w:w="0" w:type="auto"/>
            <w:vMerge/>
            <w:tcBorders>
              <w:top w:val="single" w:sz="4" w:space="0" w:color="000000"/>
              <w:left w:val="single" w:sz="4" w:space="0" w:color="000000"/>
              <w:bottom w:val="nil"/>
              <w:right w:val="single" w:sz="4" w:space="0" w:color="000000"/>
            </w:tcBorders>
            <w:vAlign w:val="center"/>
            <w:hideMark/>
          </w:tcPr>
          <w:p w14:paraId="3D731328" w14:textId="77777777" w:rsidR="002C3333" w:rsidRDefault="002C3333">
            <w:pPr>
              <w:rPr>
                <w:rFonts w:ascii="Calibri" w:eastAsia="Calibri" w:hAnsi="Calibri" w:cs="Calibri"/>
                <w:color w:val="000000"/>
              </w:rPr>
            </w:pPr>
          </w:p>
        </w:tc>
      </w:tr>
      <w:tr w:rsidR="002C3333" w14:paraId="34B8F803" w14:textId="77777777" w:rsidTr="002C3333">
        <w:trPr>
          <w:trHeight w:val="214"/>
        </w:trPr>
        <w:tc>
          <w:tcPr>
            <w:tcW w:w="6199" w:type="dxa"/>
            <w:gridSpan w:val="2"/>
            <w:tcBorders>
              <w:top w:val="single" w:sz="4" w:space="0" w:color="000000"/>
              <w:left w:val="single" w:sz="4" w:space="0" w:color="000000"/>
              <w:bottom w:val="single" w:sz="4" w:space="0" w:color="000000"/>
              <w:right w:val="single" w:sz="4" w:space="0" w:color="000000"/>
            </w:tcBorders>
            <w:shd w:val="clear" w:color="auto" w:fill="E7E6E6"/>
            <w:hideMark/>
          </w:tcPr>
          <w:p w14:paraId="1BC3CF73" w14:textId="77777777" w:rsidR="002C3333" w:rsidRDefault="002C3333">
            <w:r>
              <w:rPr>
                <w:rFonts w:ascii="Times New Roman" w:eastAsia="Times New Roman" w:hAnsi="Times New Roman" w:cs="Times New Roman"/>
                <w:b/>
                <w:sz w:val="18"/>
              </w:rPr>
              <w:t>Prescription Sedatives (continued)</w:t>
            </w:r>
            <w:r>
              <w:rPr>
                <w:rFonts w:ascii="Times New Roman" w:eastAsia="Times New Roman" w:hAnsi="Times New Roman" w:cs="Times New Roman"/>
                <w:sz w:val="18"/>
              </w:rPr>
              <w:t xml:space="preserve"> </w:t>
            </w:r>
          </w:p>
        </w:tc>
        <w:tc>
          <w:tcPr>
            <w:tcW w:w="0" w:type="auto"/>
            <w:vMerge/>
            <w:tcBorders>
              <w:top w:val="single" w:sz="4" w:space="0" w:color="000000"/>
              <w:left w:val="single" w:sz="4" w:space="0" w:color="000000"/>
              <w:bottom w:val="nil"/>
              <w:right w:val="single" w:sz="4" w:space="0" w:color="000000"/>
            </w:tcBorders>
            <w:vAlign w:val="center"/>
            <w:hideMark/>
          </w:tcPr>
          <w:p w14:paraId="41FA270D" w14:textId="77777777" w:rsidR="002C3333" w:rsidRDefault="002C3333">
            <w:pPr>
              <w:rPr>
                <w:rFonts w:ascii="Calibri" w:eastAsia="Calibri" w:hAnsi="Calibri" w:cs="Calibri"/>
                <w:color w:val="000000"/>
              </w:rPr>
            </w:pPr>
          </w:p>
        </w:tc>
      </w:tr>
      <w:tr w:rsidR="002C3333" w14:paraId="78B66779" w14:textId="77777777" w:rsidTr="002C3333">
        <w:trPr>
          <w:trHeight w:val="428"/>
        </w:trPr>
        <w:tc>
          <w:tcPr>
            <w:tcW w:w="2240" w:type="dxa"/>
            <w:tcBorders>
              <w:top w:val="single" w:sz="4" w:space="0" w:color="000000"/>
              <w:left w:val="single" w:sz="4" w:space="0" w:color="000000"/>
              <w:bottom w:val="single" w:sz="4" w:space="0" w:color="000000"/>
              <w:right w:val="single" w:sz="4" w:space="0" w:color="000000"/>
            </w:tcBorders>
            <w:hideMark/>
          </w:tcPr>
          <w:p w14:paraId="370F6036" w14:textId="77777777" w:rsidR="002C3333" w:rsidRDefault="002C3333">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63EAB847" w14:textId="77777777" w:rsidR="002C3333" w:rsidRDefault="002C3333">
            <w:pPr>
              <w:ind w:left="6"/>
            </w:pPr>
            <w:r>
              <w:rPr>
                <w:rFonts w:ascii="Times New Roman" w:eastAsia="Times New Roman" w:hAnsi="Times New Roman" w:cs="Times New Roman"/>
                <w:sz w:val="18"/>
              </w:rPr>
              <w:t xml:space="preserve">Forget-me Pill, Mexican Valium, R2, Roche, Roofies, Roofinol, Rope, Rophies </w:t>
            </w:r>
          </w:p>
        </w:tc>
        <w:tc>
          <w:tcPr>
            <w:tcW w:w="0" w:type="auto"/>
            <w:vMerge/>
            <w:tcBorders>
              <w:top w:val="single" w:sz="4" w:space="0" w:color="000000"/>
              <w:left w:val="single" w:sz="4" w:space="0" w:color="000000"/>
              <w:bottom w:val="nil"/>
              <w:right w:val="single" w:sz="4" w:space="0" w:color="000000"/>
            </w:tcBorders>
            <w:vAlign w:val="center"/>
            <w:hideMark/>
          </w:tcPr>
          <w:p w14:paraId="3EAC72A1" w14:textId="77777777" w:rsidR="002C3333" w:rsidRDefault="002C3333">
            <w:pPr>
              <w:rPr>
                <w:rFonts w:ascii="Calibri" w:eastAsia="Calibri" w:hAnsi="Calibri" w:cs="Calibri"/>
                <w:color w:val="000000"/>
              </w:rPr>
            </w:pPr>
          </w:p>
        </w:tc>
      </w:tr>
      <w:tr w:rsidR="002C3333" w14:paraId="3A7D58C6" w14:textId="77777777" w:rsidTr="002C3333">
        <w:trPr>
          <w:trHeight w:val="422"/>
        </w:trPr>
        <w:tc>
          <w:tcPr>
            <w:tcW w:w="2240" w:type="dxa"/>
            <w:tcBorders>
              <w:top w:val="single" w:sz="4" w:space="0" w:color="000000"/>
              <w:left w:val="single" w:sz="4" w:space="0" w:color="000000"/>
              <w:bottom w:val="single" w:sz="4" w:space="0" w:color="000000"/>
              <w:right w:val="single" w:sz="4" w:space="0" w:color="000000"/>
            </w:tcBorders>
            <w:hideMark/>
          </w:tcPr>
          <w:p w14:paraId="08AC76C2" w14:textId="77777777" w:rsidR="002C3333" w:rsidRDefault="002C3333">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5B54B63C" w14:textId="77777777" w:rsidR="002C3333" w:rsidRDefault="002C3333">
            <w:pPr>
              <w:ind w:left="6"/>
            </w:pPr>
            <w:r>
              <w:rPr>
                <w:rFonts w:ascii="Times New Roman" w:eastAsia="Times New Roman" w:hAnsi="Times New Roman" w:cs="Times New Roman"/>
                <w:sz w:val="18"/>
              </w:rPr>
              <w:t xml:space="preserve">Sleep Medications: Eszopiclone (Lunesta®), zaleplon (Sonata®), zolpidem (Ambien®) </w:t>
            </w:r>
          </w:p>
        </w:tc>
        <w:tc>
          <w:tcPr>
            <w:tcW w:w="0" w:type="auto"/>
            <w:vMerge/>
            <w:tcBorders>
              <w:top w:val="single" w:sz="4" w:space="0" w:color="000000"/>
              <w:left w:val="single" w:sz="4" w:space="0" w:color="000000"/>
              <w:bottom w:val="nil"/>
              <w:right w:val="single" w:sz="4" w:space="0" w:color="000000"/>
            </w:tcBorders>
            <w:vAlign w:val="center"/>
            <w:hideMark/>
          </w:tcPr>
          <w:p w14:paraId="5BDFF9C1" w14:textId="77777777" w:rsidR="002C3333" w:rsidRDefault="002C3333">
            <w:pPr>
              <w:rPr>
                <w:rFonts w:ascii="Calibri" w:eastAsia="Calibri" w:hAnsi="Calibri" w:cs="Calibri"/>
                <w:color w:val="000000"/>
              </w:rPr>
            </w:pPr>
          </w:p>
        </w:tc>
      </w:tr>
      <w:tr w:rsidR="002C3333" w14:paraId="49DB50A2"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75C380D6" w14:textId="77777777" w:rsidR="002C3333" w:rsidRDefault="002C3333">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68329AEF" w14:textId="77777777" w:rsidR="002C3333" w:rsidRDefault="002C3333">
            <w:pPr>
              <w:ind w:left="6"/>
            </w:pPr>
            <w:r>
              <w:rPr>
                <w:rFonts w:ascii="Times New Roman" w:eastAsia="Times New Roman" w:hAnsi="Times New Roman" w:cs="Times New Roman"/>
                <w:sz w:val="18"/>
              </w:rPr>
              <w:t xml:space="preserve">Pill, capsule, liquid </w:t>
            </w:r>
          </w:p>
        </w:tc>
        <w:tc>
          <w:tcPr>
            <w:tcW w:w="0" w:type="auto"/>
            <w:vMerge/>
            <w:tcBorders>
              <w:top w:val="single" w:sz="4" w:space="0" w:color="000000"/>
              <w:left w:val="single" w:sz="4" w:space="0" w:color="000000"/>
              <w:bottom w:val="nil"/>
              <w:right w:val="single" w:sz="4" w:space="0" w:color="000000"/>
            </w:tcBorders>
            <w:vAlign w:val="center"/>
            <w:hideMark/>
          </w:tcPr>
          <w:p w14:paraId="786EB323" w14:textId="77777777" w:rsidR="002C3333" w:rsidRDefault="002C3333">
            <w:pPr>
              <w:rPr>
                <w:rFonts w:ascii="Calibri" w:eastAsia="Calibri" w:hAnsi="Calibri" w:cs="Calibri"/>
                <w:color w:val="000000"/>
              </w:rPr>
            </w:pPr>
          </w:p>
        </w:tc>
      </w:tr>
      <w:tr w:rsidR="002C3333" w14:paraId="1AD09E78" w14:textId="77777777" w:rsidTr="002C3333">
        <w:trPr>
          <w:trHeight w:val="221"/>
        </w:trPr>
        <w:tc>
          <w:tcPr>
            <w:tcW w:w="2240" w:type="dxa"/>
            <w:tcBorders>
              <w:top w:val="single" w:sz="4" w:space="0" w:color="000000"/>
              <w:left w:val="single" w:sz="4" w:space="0" w:color="000000"/>
              <w:bottom w:val="single" w:sz="4" w:space="0" w:color="000000"/>
              <w:right w:val="single" w:sz="4" w:space="0" w:color="000000"/>
            </w:tcBorders>
            <w:hideMark/>
          </w:tcPr>
          <w:p w14:paraId="7DB127B2" w14:textId="77777777" w:rsidR="002C3333" w:rsidRDefault="002C3333">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104CD77F" w14:textId="77777777" w:rsidR="002C3333" w:rsidRDefault="002C3333">
            <w:pPr>
              <w:ind w:left="6"/>
            </w:pPr>
            <w:r>
              <w:rPr>
                <w:rFonts w:ascii="Times New Roman" w:eastAsia="Times New Roman" w:hAnsi="Times New Roman" w:cs="Times New Roman"/>
                <w:sz w:val="18"/>
              </w:rPr>
              <w:t xml:space="preserve">Swallowed, injected </w:t>
            </w:r>
          </w:p>
        </w:tc>
        <w:tc>
          <w:tcPr>
            <w:tcW w:w="0" w:type="auto"/>
            <w:vMerge/>
            <w:tcBorders>
              <w:top w:val="single" w:sz="4" w:space="0" w:color="000000"/>
              <w:left w:val="single" w:sz="4" w:space="0" w:color="000000"/>
              <w:bottom w:val="nil"/>
              <w:right w:val="single" w:sz="4" w:space="0" w:color="000000"/>
            </w:tcBorders>
            <w:vAlign w:val="center"/>
            <w:hideMark/>
          </w:tcPr>
          <w:p w14:paraId="6EF3D21D" w14:textId="77777777" w:rsidR="002C3333" w:rsidRDefault="002C3333">
            <w:pPr>
              <w:rPr>
                <w:rFonts w:ascii="Calibri" w:eastAsia="Calibri" w:hAnsi="Calibri" w:cs="Calibri"/>
                <w:color w:val="000000"/>
              </w:rPr>
            </w:pPr>
          </w:p>
        </w:tc>
      </w:tr>
      <w:tr w:rsidR="002C3333" w14:paraId="710BE272"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505C25DA" w14:textId="77777777" w:rsidR="002C3333" w:rsidRDefault="002C3333">
            <w:r>
              <w:rPr>
                <w:rFonts w:ascii="Times New Roman" w:eastAsia="Times New Roman" w:hAnsi="Times New Roman" w:cs="Times New Roman"/>
                <w:b/>
                <w:sz w:val="18"/>
              </w:rPr>
              <w:t xml:space="preserve">DEA Schedule </w:t>
            </w:r>
          </w:p>
        </w:tc>
        <w:tc>
          <w:tcPr>
            <w:tcW w:w="3959" w:type="dxa"/>
            <w:tcBorders>
              <w:top w:val="single" w:sz="4" w:space="0" w:color="000000"/>
              <w:left w:val="single" w:sz="4" w:space="0" w:color="000000"/>
              <w:bottom w:val="single" w:sz="4" w:space="0" w:color="000000"/>
              <w:right w:val="single" w:sz="4" w:space="0" w:color="000000"/>
            </w:tcBorders>
            <w:hideMark/>
          </w:tcPr>
          <w:p w14:paraId="7A25083D" w14:textId="77777777" w:rsidR="002C3333" w:rsidRDefault="002C3333">
            <w:pPr>
              <w:ind w:left="6"/>
            </w:pPr>
            <w:r>
              <w:rPr>
                <w:rFonts w:ascii="Times New Roman" w:eastAsia="Times New Roman" w:hAnsi="Times New Roman" w:cs="Times New Roman"/>
                <w:sz w:val="18"/>
              </w:rPr>
              <w:t xml:space="preserve">Schedule IV </w:t>
            </w:r>
          </w:p>
        </w:tc>
        <w:tc>
          <w:tcPr>
            <w:tcW w:w="0" w:type="auto"/>
            <w:vMerge/>
            <w:tcBorders>
              <w:top w:val="single" w:sz="4" w:space="0" w:color="000000"/>
              <w:left w:val="single" w:sz="4" w:space="0" w:color="000000"/>
              <w:bottom w:val="nil"/>
              <w:right w:val="single" w:sz="4" w:space="0" w:color="000000"/>
            </w:tcBorders>
            <w:vAlign w:val="center"/>
            <w:hideMark/>
          </w:tcPr>
          <w:p w14:paraId="79BA0983" w14:textId="77777777" w:rsidR="002C3333" w:rsidRDefault="002C3333">
            <w:pPr>
              <w:rPr>
                <w:rFonts w:ascii="Calibri" w:eastAsia="Calibri" w:hAnsi="Calibri" w:cs="Calibri"/>
                <w:color w:val="000000"/>
              </w:rPr>
            </w:pPr>
          </w:p>
        </w:tc>
      </w:tr>
      <w:tr w:rsidR="002C3333" w14:paraId="7C9863A9" w14:textId="77777777" w:rsidTr="002C3333">
        <w:trPr>
          <w:trHeight w:val="214"/>
        </w:trPr>
        <w:tc>
          <w:tcPr>
            <w:tcW w:w="6199" w:type="dxa"/>
            <w:gridSpan w:val="2"/>
            <w:tcBorders>
              <w:top w:val="single" w:sz="4" w:space="0" w:color="000000"/>
              <w:left w:val="single" w:sz="4" w:space="0" w:color="000000"/>
              <w:bottom w:val="single" w:sz="4" w:space="0" w:color="000000"/>
              <w:right w:val="single" w:sz="4" w:space="0" w:color="000000"/>
            </w:tcBorders>
            <w:shd w:val="clear" w:color="auto" w:fill="A6B4E4" w:themeFill="text2" w:themeFillTint="40"/>
            <w:hideMark/>
          </w:tcPr>
          <w:p w14:paraId="6FFB12FE" w14:textId="77777777" w:rsidR="002C3333" w:rsidRDefault="002C3333">
            <w:pPr>
              <w:ind w:left="95"/>
            </w:pPr>
            <w:r>
              <w:rPr>
                <w:rFonts w:ascii="Times New Roman" w:eastAsia="Times New Roman" w:hAnsi="Times New Roman" w:cs="Times New Roman"/>
                <w:b/>
                <w:sz w:val="18"/>
              </w:rPr>
              <w:t>Prescription Stimulants</w:t>
            </w:r>
            <w:r>
              <w:rPr>
                <w:rFonts w:ascii="Times New Roman" w:eastAsia="Times New Roman" w:hAnsi="Times New Roman" w:cs="Times New Roman"/>
                <w:sz w:val="18"/>
              </w:rPr>
              <w:t xml:space="preserve"> </w:t>
            </w:r>
          </w:p>
        </w:tc>
        <w:tc>
          <w:tcPr>
            <w:tcW w:w="3971" w:type="dxa"/>
            <w:vMerge w:val="restart"/>
            <w:tcBorders>
              <w:top w:val="single" w:sz="4" w:space="0" w:color="000000"/>
              <w:left w:val="single" w:sz="4" w:space="0" w:color="000000"/>
              <w:bottom w:val="single" w:sz="4" w:space="0" w:color="000000"/>
              <w:right w:val="single" w:sz="4" w:space="0" w:color="000000"/>
            </w:tcBorders>
            <w:hideMark/>
          </w:tcPr>
          <w:p w14:paraId="0E14838D" w14:textId="77777777" w:rsidR="002C3333" w:rsidRDefault="002C3333">
            <w:pPr>
              <w:ind w:left="102"/>
            </w:pPr>
            <w:r>
              <w:rPr>
                <w:rFonts w:ascii="Times New Roman" w:eastAsia="Times New Roman" w:hAnsi="Times New Roman" w:cs="Times New Roman"/>
                <w:b/>
                <w:sz w:val="18"/>
              </w:rPr>
              <w:t>Possible Health Effects:</w:t>
            </w:r>
            <w:r>
              <w:rPr>
                <w:rFonts w:ascii="Times New Roman" w:eastAsia="Times New Roman" w:hAnsi="Times New Roman" w:cs="Times New Roman"/>
                <w:sz w:val="18"/>
              </w:rPr>
              <w:t xml:space="preserve"> </w:t>
            </w:r>
          </w:p>
          <w:p w14:paraId="440773A4" w14:textId="77777777" w:rsidR="002C3333" w:rsidRDefault="002C3333">
            <w:pPr>
              <w:spacing w:after="5"/>
              <w:ind w:left="102"/>
            </w:pPr>
            <w:r>
              <w:rPr>
                <w:rFonts w:ascii="Times New Roman" w:eastAsia="Times New Roman" w:hAnsi="Times New Roman" w:cs="Times New Roman"/>
                <w:sz w:val="18"/>
                <w:u w:val="single" w:color="000000"/>
              </w:rPr>
              <w:t>Short-Term</w:t>
            </w:r>
            <w:r>
              <w:rPr>
                <w:rFonts w:ascii="Times New Roman" w:eastAsia="Times New Roman" w:hAnsi="Times New Roman" w:cs="Times New Roman"/>
                <w:sz w:val="18"/>
              </w:rPr>
              <w:t xml:space="preserve">: Increased alertness, attention, energy; increased blood pressure and heart rate; narrowed blood vessels; increased blood sugar; opened-up breathing passages. High doses: dangerously high </w:t>
            </w:r>
            <w:r>
              <w:rPr>
                <w:rFonts w:ascii="Times New Roman" w:eastAsia="Times New Roman" w:hAnsi="Times New Roman" w:cs="Times New Roman"/>
                <w:sz w:val="18"/>
              </w:rPr>
              <w:lastRenderedPageBreak/>
              <w:t xml:space="preserve">body temperature and irregular heartbeat; heart failure; seizures. </w:t>
            </w:r>
          </w:p>
          <w:p w14:paraId="6CEC35FD" w14:textId="77777777" w:rsidR="002C3333" w:rsidRDefault="002C3333">
            <w:pPr>
              <w:spacing w:after="82"/>
              <w:ind w:left="102"/>
            </w:pPr>
            <w:r>
              <w:rPr>
                <w:rFonts w:ascii="Times New Roman" w:eastAsia="Times New Roman" w:hAnsi="Times New Roman" w:cs="Times New Roman"/>
                <w:sz w:val="18"/>
                <w:u w:val="single" w:color="000000"/>
              </w:rPr>
              <w:t xml:space="preserve">Long-Term: </w:t>
            </w:r>
            <w:r>
              <w:rPr>
                <w:rFonts w:ascii="Times New Roman" w:eastAsia="Times New Roman" w:hAnsi="Times New Roman" w:cs="Times New Roman"/>
                <w:sz w:val="18"/>
              </w:rPr>
              <w:t xml:space="preserve">Heart problems, psychosis, anger, paranoia. </w:t>
            </w:r>
            <w:r>
              <w:rPr>
                <w:rFonts w:ascii="Times New Roman" w:eastAsia="Times New Roman" w:hAnsi="Times New Roman" w:cs="Times New Roman"/>
                <w:sz w:val="18"/>
                <w:u w:val="single" w:color="000000"/>
              </w:rPr>
              <w:t xml:space="preserve">Other Health-Related Issues: </w:t>
            </w:r>
            <w:r>
              <w:rPr>
                <w:rFonts w:ascii="Times New Roman" w:eastAsia="Times New Roman" w:hAnsi="Times New Roman" w:cs="Times New Roman"/>
                <w:sz w:val="18"/>
              </w:rPr>
              <w:t xml:space="preserve">Risk of HIV, hepatitis, and other infectious diseases from shared needles. Masks the depressant action of alcohol, increasing risk of alcohol overdose; may increase blood pressure and jitters. Withdrawal symptoms include depression, tiredness, and sleep problems. </w:t>
            </w:r>
          </w:p>
          <w:p w14:paraId="3CE01BD4" w14:textId="77777777" w:rsidR="002C3333" w:rsidRDefault="002C3333">
            <w:r>
              <w:rPr>
                <w:sz w:val="22"/>
              </w:rPr>
              <w:tab/>
            </w:r>
          </w:p>
        </w:tc>
      </w:tr>
      <w:tr w:rsidR="002C3333" w14:paraId="34F664F6" w14:textId="77777777" w:rsidTr="002C3333">
        <w:trPr>
          <w:trHeight w:val="428"/>
        </w:trPr>
        <w:tc>
          <w:tcPr>
            <w:tcW w:w="2240" w:type="dxa"/>
            <w:tcBorders>
              <w:top w:val="single" w:sz="4" w:space="0" w:color="000000"/>
              <w:left w:val="single" w:sz="4" w:space="0" w:color="000000"/>
              <w:bottom w:val="single" w:sz="4" w:space="0" w:color="000000"/>
              <w:right w:val="single" w:sz="4" w:space="0" w:color="000000"/>
            </w:tcBorders>
            <w:hideMark/>
          </w:tcPr>
          <w:p w14:paraId="7D344DD1" w14:textId="77777777" w:rsidR="002C3333" w:rsidRDefault="002C3333">
            <w:pPr>
              <w:ind w:left="95"/>
            </w:pPr>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5A9A3BD7" w14:textId="77777777" w:rsidR="002C3333" w:rsidRDefault="002C3333">
            <w:pPr>
              <w:ind w:left="101"/>
            </w:pPr>
            <w:r>
              <w:rPr>
                <w:rFonts w:ascii="Times New Roman" w:eastAsia="Times New Roman" w:hAnsi="Times New Roman" w:cs="Times New Roman"/>
                <w:sz w:val="18"/>
              </w:rPr>
              <w:t xml:space="preserve">Bennies, Black Beauties, Crosses, Hearts, LA Turnaround, Speed, Truck Drivers, Uppers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F69D1E" w14:textId="77777777" w:rsidR="002C3333" w:rsidRDefault="002C3333">
            <w:pPr>
              <w:rPr>
                <w:rFonts w:ascii="Calibri" w:eastAsia="Calibri" w:hAnsi="Calibri" w:cs="Calibri"/>
                <w:color w:val="000000"/>
              </w:rPr>
            </w:pPr>
          </w:p>
        </w:tc>
      </w:tr>
      <w:tr w:rsidR="002C3333" w14:paraId="69F151F0"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6B8BFBC5" w14:textId="77777777" w:rsidR="002C3333" w:rsidRDefault="002C3333">
            <w:pPr>
              <w:ind w:left="95"/>
            </w:pPr>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74469C90" w14:textId="77777777" w:rsidR="002C3333" w:rsidRDefault="002C3333">
            <w:pPr>
              <w:ind w:left="101"/>
            </w:pPr>
            <w:r>
              <w:rPr>
                <w:rFonts w:ascii="Times New Roman" w:eastAsia="Times New Roman" w:hAnsi="Times New Roman" w:cs="Times New Roman"/>
                <w:sz w:val="18"/>
              </w:rPr>
              <w:t xml:space="preserve">Amphetamine (Adderall®, Benzedrine®)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F14502" w14:textId="77777777" w:rsidR="002C3333" w:rsidRDefault="002C3333">
            <w:pPr>
              <w:rPr>
                <w:rFonts w:ascii="Calibri" w:eastAsia="Calibri" w:hAnsi="Calibri" w:cs="Calibri"/>
                <w:color w:val="000000"/>
              </w:rPr>
            </w:pPr>
          </w:p>
        </w:tc>
      </w:tr>
      <w:tr w:rsidR="002C3333" w14:paraId="1B6624F7"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69E159D3" w14:textId="77777777" w:rsidR="002C3333" w:rsidRDefault="002C3333">
            <w:pPr>
              <w:ind w:left="95"/>
            </w:pPr>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053FD43D" w14:textId="77777777" w:rsidR="002C3333" w:rsidRDefault="002C3333">
            <w:pPr>
              <w:ind w:left="101"/>
            </w:pPr>
            <w:r>
              <w:rPr>
                <w:rFonts w:ascii="Times New Roman" w:eastAsia="Times New Roman" w:hAnsi="Times New Roman" w:cs="Times New Roman"/>
                <w:sz w:val="18"/>
              </w:rPr>
              <w:t xml:space="preserve">Tablet, capsule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BDE0CD" w14:textId="77777777" w:rsidR="002C3333" w:rsidRDefault="002C3333">
            <w:pPr>
              <w:rPr>
                <w:rFonts w:ascii="Calibri" w:eastAsia="Calibri" w:hAnsi="Calibri" w:cs="Calibri"/>
                <w:color w:val="000000"/>
              </w:rPr>
            </w:pPr>
          </w:p>
        </w:tc>
      </w:tr>
      <w:tr w:rsidR="002C3333" w14:paraId="791257A7"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38A4E163" w14:textId="77777777" w:rsidR="002C3333" w:rsidRDefault="002C3333">
            <w:pPr>
              <w:ind w:left="95"/>
            </w:pPr>
            <w:r>
              <w:rPr>
                <w:rFonts w:ascii="Times New Roman" w:eastAsia="Times New Roman" w:hAnsi="Times New Roman" w:cs="Times New Roman"/>
                <w:b/>
                <w:sz w:val="18"/>
              </w:rPr>
              <w:lastRenderedPageBreak/>
              <w:t>Common Ways Taken</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28675BA6" w14:textId="77777777" w:rsidR="002C3333" w:rsidRDefault="002C3333">
            <w:pPr>
              <w:ind w:left="101"/>
            </w:pPr>
            <w:r>
              <w:rPr>
                <w:rFonts w:ascii="Times New Roman" w:eastAsia="Times New Roman" w:hAnsi="Times New Roman" w:cs="Times New Roman"/>
                <w:sz w:val="18"/>
              </w:rPr>
              <w:t xml:space="preserve">Swallowed, snorted, smoked, injected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33AA20" w14:textId="77777777" w:rsidR="002C3333" w:rsidRDefault="002C3333">
            <w:pPr>
              <w:rPr>
                <w:rFonts w:ascii="Calibri" w:eastAsia="Calibri" w:hAnsi="Calibri" w:cs="Calibri"/>
                <w:color w:val="000000"/>
              </w:rPr>
            </w:pPr>
          </w:p>
        </w:tc>
      </w:tr>
      <w:tr w:rsidR="002C3333" w14:paraId="2A108EE2" w14:textId="77777777" w:rsidTr="002C3333">
        <w:trPr>
          <w:trHeight w:val="1427"/>
        </w:trPr>
        <w:tc>
          <w:tcPr>
            <w:tcW w:w="2240" w:type="dxa"/>
            <w:tcBorders>
              <w:top w:val="single" w:sz="4" w:space="0" w:color="000000"/>
              <w:left w:val="single" w:sz="4" w:space="0" w:color="000000"/>
              <w:bottom w:val="single" w:sz="4" w:space="0" w:color="000000"/>
              <w:right w:val="single" w:sz="4" w:space="0" w:color="000000"/>
            </w:tcBorders>
            <w:hideMark/>
          </w:tcPr>
          <w:p w14:paraId="4FB98D30" w14:textId="77777777" w:rsidR="002C3333" w:rsidRDefault="002C3333">
            <w:pPr>
              <w:ind w:left="95"/>
            </w:pPr>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1C6A5D74" w14:textId="77777777" w:rsidR="002C3333" w:rsidRDefault="002C3333">
            <w:pPr>
              <w:ind w:left="101"/>
            </w:pPr>
            <w:r>
              <w:rPr>
                <w:rFonts w:ascii="Times New Roman" w:eastAsia="Times New Roman" w:hAnsi="Times New Roman" w:cs="Times New Roman"/>
                <w:sz w:val="18"/>
              </w:rPr>
              <w:t xml:space="preserve">Schedule II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8FFE03" w14:textId="77777777" w:rsidR="002C3333" w:rsidRDefault="002C3333">
            <w:pPr>
              <w:rPr>
                <w:rFonts w:ascii="Calibri" w:eastAsia="Calibri" w:hAnsi="Calibri" w:cs="Calibri"/>
                <w:color w:val="000000"/>
              </w:rPr>
            </w:pPr>
          </w:p>
        </w:tc>
      </w:tr>
      <w:tr w:rsidR="002C3333" w14:paraId="2B5B1F4D" w14:textId="77777777" w:rsidTr="002C3333">
        <w:trPr>
          <w:trHeight w:val="215"/>
        </w:trPr>
        <w:tc>
          <w:tcPr>
            <w:tcW w:w="6199" w:type="dxa"/>
            <w:gridSpan w:val="2"/>
            <w:tcBorders>
              <w:top w:val="single" w:sz="4" w:space="0" w:color="000000"/>
              <w:left w:val="single" w:sz="4" w:space="0" w:color="000000"/>
              <w:bottom w:val="single" w:sz="4" w:space="0" w:color="000000"/>
              <w:right w:val="single" w:sz="4" w:space="0" w:color="000000"/>
            </w:tcBorders>
            <w:shd w:val="clear" w:color="auto" w:fill="E7E6E6"/>
            <w:hideMark/>
          </w:tcPr>
          <w:p w14:paraId="58464D1D" w14:textId="77777777" w:rsidR="002C3333" w:rsidRDefault="002C3333">
            <w:pPr>
              <w:ind w:left="95"/>
            </w:pPr>
            <w:r>
              <w:rPr>
                <w:rFonts w:ascii="Times New Roman" w:eastAsia="Times New Roman" w:hAnsi="Times New Roman" w:cs="Times New Roman"/>
                <w:b/>
                <w:sz w:val="18"/>
              </w:rPr>
              <w:t>Prescription Stimulants (continued)</w:t>
            </w:r>
            <w:r>
              <w:rPr>
                <w:rFonts w:ascii="Times New Roman" w:eastAsia="Times New Roman" w:hAnsi="Times New Roman" w:cs="Times New Roman"/>
                <w:sz w:val="18"/>
              </w:rPr>
              <w:t xml:space="preserv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0949A6" w14:textId="77777777" w:rsidR="002C3333" w:rsidRDefault="002C3333">
            <w:pPr>
              <w:rPr>
                <w:rFonts w:ascii="Calibri" w:eastAsia="Calibri" w:hAnsi="Calibri" w:cs="Calibri"/>
                <w:color w:val="000000"/>
              </w:rPr>
            </w:pPr>
          </w:p>
        </w:tc>
      </w:tr>
      <w:tr w:rsidR="002C3333" w14:paraId="46183926" w14:textId="77777777" w:rsidTr="002C3333">
        <w:trPr>
          <w:trHeight w:val="215"/>
        </w:trPr>
        <w:tc>
          <w:tcPr>
            <w:tcW w:w="6199" w:type="dxa"/>
            <w:gridSpan w:val="2"/>
            <w:tcBorders>
              <w:top w:val="single" w:sz="4" w:space="0" w:color="000000"/>
              <w:left w:val="single" w:sz="4" w:space="0" w:color="000000"/>
              <w:bottom w:val="single" w:sz="4" w:space="0" w:color="000000"/>
              <w:right w:val="single" w:sz="4" w:space="0" w:color="000000"/>
            </w:tcBorders>
            <w:shd w:val="clear" w:color="auto" w:fill="E7E6E6"/>
            <w:hideMark/>
          </w:tcPr>
          <w:p w14:paraId="61CC9713" w14:textId="77777777" w:rsidR="002C3333" w:rsidRDefault="002C3333">
            <w:pPr>
              <w:ind w:left="95"/>
            </w:pPr>
            <w:r>
              <w:rPr>
                <w:rFonts w:ascii="Times New Roman" w:eastAsia="Times New Roman" w:hAnsi="Times New Roman" w:cs="Times New Roman"/>
                <w:b/>
                <w:sz w:val="18"/>
              </w:rPr>
              <w:t xml:space="preserv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CCA666" w14:textId="77777777" w:rsidR="002C3333" w:rsidRDefault="002C3333">
            <w:pPr>
              <w:rPr>
                <w:rFonts w:ascii="Calibri" w:eastAsia="Calibri" w:hAnsi="Calibri" w:cs="Calibri"/>
                <w:color w:val="000000"/>
              </w:rPr>
            </w:pPr>
          </w:p>
        </w:tc>
      </w:tr>
      <w:tr w:rsidR="002C3333" w14:paraId="5B77FB64" w14:textId="77777777" w:rsidTr="002C3333">
        <w:trPr>
          <w:trHeight w:val="428"/>
        </w:trPr>
        <w:tc>
          <w:tcPr>
            <w:tcW w:w="2240" w:type="dxa"/>
            <w:tcBorders>
              <w:top w:val="single" w:sz="4" w:space="0" w:color="000000"/>
              <w:left w:val="single" w:sz="4" w:space="0" w:color="000000"/>
              <w:bottom w:val="single" w:sz="4" w:space="0" w:color="000000"/>
              <w:right w:val="single" w:sz="4" w:space="0" w:color="000000"/>
            </w:tcBorders>
            <w:hideMark/>
          </w:tcPr>
          <w:p w14:paraId="2A553316" w14:textId="77777777" w:rsidR="002C3333" w:rsidRDefault="002C3333">
            <w:pPr>
              <w:ind w:left="95"/>
            </w:pPr>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21958E7D" w14:textId="77777777" w:rsidR="002C3333" w:rsidRDefault="002C3333">
            <w:pPr>
              <w:ind w:left="101"/>
            </w:pPr>
            <w:r>
              <w:rPr>
                <w:rFonts w:ascii="Times New Roman" w:eastAsia="Times New Roman" w:hAnsi="Times New Roman" w:cs="Times New Roman"/>
                <w:sz w:val="18"/>
              </w:rPr>
              <w:t xml:space="preserve">JIF, MPH, R-ball, Skippy, The Smart Drug, Vitamin R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880D6F" w14:textId="77777777" w:rsidR="002C3333" w:rsidRDefault="002C3333">
            <w:pPr>
              <w:rPr>
                <w:rFonts w:ascii="Calibri" w:eastAsia="Calibri" w:hAnsi="Calibri" w:cs="Calibri"/>
                <w:color w:val="000000"/>
              </w:rPr>
            </w:pPr>
          </w:p>
        </w:tc>
      </w:tr>
      <w:tr w:rsidR="002C3333" w14:paraId="46C843C3"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24F421A5" w14:textId="77777777" w:rsidR="002C3333" w:rsidRDefault="002C3333">
            <w:pPr>
              <w:ind w:left="95"/>
            </w:pPr>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44BB6E9D" w14:textId="77777777" w:rsidR="002C3333" w:rsidRDefault="002C3333">
            <w:pPr>
              <w:ind w:left="101"/>
            </w:pPr>
            <w:r>
              <w:rPr>
                <w:rFonts w:ascii="Times New Roman" w:eastAsia="Times New Roman" w:hAnsi="Times New Roman" w:cs="Times New Roman"/>
                <w:sz w:val="18"/>
              </w:rPr>
              <w:t xml:space="preserve">Methylphenidate (Concerta®, Ritalin®)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8F554C" w14:textId="77777777" w:rsidR="002C3333" w:rsidRDefault="002C3333">
            <w:pPr>
              <w:rPr>
                <w:rFonts w:ascii="Calibri" w:eastAsia="Calibri" w:hAnsi="Calibri" w:cs="Calibri"/>
                <w:color w:val="000000"/>
              </w:rPr>
            </w:pPr>
          </w:p>
        </w:tc>
      </w:tr>
      <w:tr w:rsidR="002C3333" w14:paraId="22B86559"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0BDC730C" w14:textId="77777777" w:rsidR="002C3333" w:rsidRDefault="002C3333">
            <w:pPr>
              <w:ind w:left="95"/>
            </w:pPr>
            <w:r>
              <w:rPr>
                <w:rFonts w:ascii="Times New Roman" w:eastAsia="Times New Roman" w:hAnsi="Times New Roman" w:cs="Times New Roman"/>
                <w:b/>
                <w:sz w:val="18"/>
              </w:rPr>
              <w:t>Common Form</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233659B8" w14:textId="77777777" w:rsidR="002C3333" w:rsidRDefault="002C3333">
            <w:pPr>
              <w:ind w:left="101"/>
            </w:pPr>
            <w:r>
              <w:rPr>
                <w:rFonts w:ascii="Times New Roman" w:eastAsia="Times New Roman" w:hAnsi="Times New Roman" w:cs="Times New Roman"/>
                <w:sz w:val="18"/>
              </w:rPr>
              <w:t xml:space="preserve">Liquid, tablet, chewable tablet, capsule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1CB0D2" w14:textId="77777777" w:rsidR="002C3333" w:rsidRDefault="002C3333">
            <w:pPr>
              <w:rPr>
                <w:rFonts w:ascii="Calibri" w:eastAsia="Calibri" w:hAnsi="Calibri" w:cs="Calibri"/>
                <w:color w:val="000000"/>
              </w:rPr>
            </w:pPr>
          </w:p>
        </w:tc>
      </w:tr>
      <w:tr w:rsidR="002C3333" w14:paraId="36954A45" w14:textId="77777777" w:rsidTr="002C3333">
        <w:trPr>
          <w:trHeight w:val="216"/>
        </w:trPr>
        <w:tc>
          <w:tcPr>
            <w:tcW w:w="2240" w:type="dxa"/>
            <w:tcBorders>
              <w:top w:val="single" w:sz="4" w:space="0" w:color="000000"/>
              <w:left w:val="single" w:sz="4" w:space="0" w:color="000000"/>
              <w:bottom w:val="single" w:sz="4" w:space="0" w:color="000000"/>
              <w:right w:val="single" w:sz="4" w:space="0" w:color="000000"/>
            </w:tcBorders>
            <w:hideMark/>
          </w:tcPr>
          <w:p w14:paraId="1714C0F4" w14:textId="77777777" w:rsidR="002C3333" w:rsidRDefault="002C3333">
            <w:pPr>
              <w:ind w:left="95"/>
            </w:pPr>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123B1E45" w14:textId="77777777" w:rsidR="002C3333" w:rsidRDefault="002C3333">
            <w:pPr>
              <w:ind w:left="101"/>
            </w:pPr>
            <w:r>
              <w:rPr>
                <w:rFonts w:ascii="Times New Roman" w:eastAsia="Times New Roman" w:hAnsi="Times New Roman" w:cs="Times New Roman"/>
                <w:sz w:val="18"/>
              </w:rPr>
              <w:t xml:space="preserve">Swallowed, snorted, smoked, injected, chewed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04F771" w14:textId="77777777" w:rsidR="002C3333" w:rsidRDefault="002C3333">
            <w:pPr>
              <w:rPr>
                <w:rFonts w:ascii="Calibri" w:eastAsia="Calibri" w:hAnsi="Calibri" w:cs="Calibri"/>
                <w:color w:val="000000"/>
              </w:rPr>
            </w:pPr>
          </w:p>
        </w:tc>
      </w:tr>
      <w:tr w:rsidR="002C3333" w14:paraId="25E40E5B" w14:textId="77777777" w:rsidTr="002C3333">
        <w:trPr>
          <w:trHeight w:val="221"/>
        </w:trPr>
        <w:tc>
          <w:tcPr>
            <w:tcW w:w="2240" w:type="dxa"/>
            <w:tcBorders>
              <w:top w:val="single" w:sz="4" w:space="0" w:color="000000"/>
              <w:left w:val="single" w:sz="4" w:space="0" w:color="000000"/>
              <w:bottom w:val="single" w:sz="4" w:space="0" w:color="000000"/>
              <w:right w:val="single" w:sz="4" w:space="0" w:color="000000"/>
            </w:tcBorders>
            <w:hideMark/>
          </w:tcPr>
          <w:p w14:paraId="184F16F5" w14:textId="77777777" w:rsidR="002C3333" w:rsidRDefault="002C3333">
            <w:pPr>
              <w:ind w:left="95"/>
            </w:pPr>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2D30646F" w14:textId="77777777" w:rsidR="002C3333" w:rsidRDefault="002C3333">
            <w:pPr>
              <w:ind w:left="101"/>
            </w:pPr>
            <w:r>
              <w:rPr>
                <w:rFonts w:ascii="Times New Roman" w:eastAsia="Times New Roman" w:hAnsi="Times New Roman" w:cs="Times New Roman"/>
                <w:sz w:val="18"/>
              </w:rPr>
              <w:t xml:space="preserve">Schedule II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89CF57" w14:textId="77777777" w:rsidR="002C3333" w:rsidRDefault="002C3333">
            <w:pPr>
              <w:rPr>
                <w:rFonts w:ascii="Calibri" w:eastAsia="Calibri" w:hAnsi="Calibri" w:cs="Calibri"/>
                <w:color w:val="000000"/>
              </w:rPr>
            </w:pPr>
          </w:p>
        </w:tc>
      </w:tr>
    </w:tbl>
    <w:p w14:paraId="3907730E" w14:textId="77777777" w:rsidR="002C3333" w:rsidRDefault="002C3333" w:rsidP="002C3333">
      <w:pPr>
        <w:spacing w:after="0"/>
        <w:ind w:left="5"/>
        <w:rPr>
          <w:rFonts w:ascii="Calibri" w:eastAsia="Calibri" w:hAnsi="Calibri" w:cs="Calibri"/>
          <w:color w:val="000000"/>
          <w:kern w:val="2"/>
          <w:sz w:val="22"/>
          <w14:ligatures w14:val="standardContextual"/>
        </w:rPr>
      </w:pPr>
      <w:r>
        <w:rPr>
          <w:sz w:val="20"/>
        </w:rPr>
        <w:tab/>
      </w:r>
    </w:p>
    <w:tbl>
      <w:tblPr>
        <w:tblStyle w:val="TableGrid0"/>
        <w:tblW w:w="10170" w:type="dxa"/>
        <w:tblInd w:w="-5" w:type="dxa"/>
        <w:tblCellMar>
          <w:top w:w="9" w:type="dxa"/>
          <w:left w:w="106" w:type="dxa"/>
          <w:right w:w="93" w:type="dxa"/>
        </w:tblCellMar>
        <w:tblLook w:val="04A0" w:firstRow="1" w:lastRow="0" w:firstColumn="1" w:lastColumn="0" w:noHBand="0" w:noVBand="1"/>
      </w:tblPr>
      <w:tblGrid>
        <w:gridCol w:w="2240"/>
        <w:gridCol w:w="3959"/>
        <w:gridCol w:w="3971"/>
      </w:tblGrid>
      <w:tr w:rsidR="002C3333" w14:paraId="28F63F10" w14:textId="77777777" w:rsidTr="002C3333">
        <w:trPr>
          <w:trHeight w:val="214"/>
        </w:trPr>
        <w:tc>
          <w:tcPr>
            <w:tcW w:w="2240" w:type="dxa"/>
            <w:tcBorders>
              <w:top w:val="single" w:sz="4" w:space="0" w:color="000000"/>
              <w:left w:val="single" w:sz="4" w:space="0" w:color="000000"/>
              <w:bottom w:val="single" w:sz="4" w:space="0" w:color="000000"/>
              <w:right w:val="nil"/>
            </w:tcBorders>
            <w:shd w:val="clear" w:color="auto" w:fill="A6B4E4" w:themeFill="text2" w:themeFillTint="40"/>
            <w:hideMark/>
          </w:tcPr>
          <w:p w14:paraId="6DD5AA30" w14:textId="77777777" w:rsidR="002C3333" w:rsidRDefault="002C3333">
            <w:r>
              <w:rPr>
                <w:rFonts w:ascii="Times New Roman" w:eastAsia="Times New Roman" w:hAnsi="Times New Roman" w:cs="Times New Roman"/>
                <w:b/>
                <w:sz w:val="18"/>
              </w:rPr>
              <w:t>Psilocybin</w:t>
            </w:r>
            <w:r>
              <w:rPr>
                <w:rFonts w:ascii="Times New Roman" w:eastAsia="Times New Roman" w:hAnsi="Times New Roman" w:cs="Times New Roman"/>
                <w:sz w:val="18"/>
              </w:rPr>
              <w:t xml:space="preserve"> </w:t>
            </w:r>
          </w:p>
        </w:tc>
        <w:tc>
          <w:tcPr>
            <w:tcW w:w="3959" w:type="dxa"/>
            <w:tcBorders>
              <w:top w:val="single" w:sz="4" w:space="0" w:color="000000"/>
              <w:left w:val="nil"/>
              <w:bottom w:val="single" w:sz="4" w:space="0" w:color="000000"/>
              <w:right w:val="single" w:sz="4" w:space="0" w:color="000000"/>
            </w:tcBorders>
            <w:shd w:val="clear" w:color="auto" w:fill="A6B4E4" w:themeFill="text2" w:themeFillTint="40"/>
          </w:tcPr>
          <w:p w14:paraId="38EEE5EE" w14:textId="77777777" w:rsidR="002C3333" w:rsidRDefault="002C3333"/>
        </w:tc>
        <w:tc>
          <w:tcPr>
            <w:tcW w:w="3971" w:type="dxa"/>
            <w:vMerge w:val="restart"/>
            <w:tcBorders>
              <w:top w:val="single" w:sz="4" w:space="0" w:color="000000"/>
              <w:left w:val="single" w:sz="4" w:space="0" w:color="000000"/>
              <w:bottom w:val="single" w:sz="4" w:space="0" w:color="000000"/>
              <w:right w:val="single" w:sz="4" w:space="0" w:color="000000"/>
            </w:tcBorders>
            <w:hideMark/>
          </w:tcPr>
          <w:p w14:paraId="3FF7A3EB" w14:textId="77777777" w:rsidR="002C3333" w:rsidRDefault="002C3333">
            <w:pPr>
              <w:ind w:left="7"/>
            </w:pPr>
            <w:r>
              <w:rPr>
                <w:rFonts w:ascii="Times New Roman" w:eastAsia="Times New Roman" w:hAnsi="Times New Roman" w:cs="Times New Roman"/>
                <w:b/>
                <w:sz w:val="18"/>
              </w:rPr>
              <w:t>Possible Health Effects:</w:t>
            </w:r>
            <w:r>
              <w:rPr>
                <w:rFonts w:ascii="Times New Roman" w:eastAsia="Times New Roman" w:hAnsi="Times New Roman" w:cs="Times New Roman"/>
                <w:sz w:val="18"/>
              </w:rPr>
              <w:t xml:space="preserve"> </w:t>
            </w:r>
          </w:p>
          <w:p w14:paraId="1A583AA7" w14:textId="77777777" w:rsidR="002C3333" w:rsidRDefault="002C3333">
            <w:pPr>
              <w:spacing w:line="242" w:lineRule="auto"/>
              <w:ind w:left="7"/>
            </w:pPr>
            <w:r>
              <w:rPr>
                <w:rFonts w:ascii="Times New Roman" w:eastAsia="Times New Roman" w:hAnsi="Times New Roman" w:cs="Times New Roman"/>
                <w:sz w:val="18"/>
                <w:u w:val="single" w:color="000000"/>
              </w:rPr>
              <w:t>Short-Term</w:t>
            </w:r>
            <w:r>
              <w:rPr>
                <w:rFonts w:ascii="Times New Roman" w:eastAsia="Times New Roman" w:hAnsi="Times New Roman" w:cs="Times New Roman"/>
                <w:sz w:val="18"/>
              </w:rPr>
              <w:t xml:space="preserve">: Hallucinations, altered perception of time, inability to tell fantasy from reality, panic, muscle relaxation or weakness, problems with movement, enlarged pupils, nausea, vomiting, drowsiness. </w:t>
            </w:r>
          </w:p>
          <w:p w14:paraId="45CEC8B2" w14:textId="77777777" w:rsidR="002C3333" w:rsidRDefault="002C3333">
            <w:pPr>
              <w:ind w:left="7"/>
            </w:pPr>
            <w:r>
              <w:rPr>
                <w:rFonts w:ascii="Times New Roman" w:eastAsia="Times New Roman" w:hAnsi="Times New Roman" w:cs="Times New Roman"/>
                <w:sz w:val="18"/>
                <w:u w:val="single" w:color="000000"/>
              </w:rPr>
              <w:t xml:space="preserve">Long-Term: </w:t>
            </w:r>
            <w:r>
              <w:rPr>
                <w:rFonts w:ascii="Times New Roman" w:eastAsia="Times New Roman" w:hAnsi="Times New Roman" w:cs="Times New Roman"/>
                <w:sz w:val="18"/>
              </w:rPr>
              <w:t xml:space="preserve">Risk of flashbacks and memory problems. Other Health-Related Issues: Risk of poisoning if a poisonous mushroom is accidentally used. In combination with alcohol, may decrease the perceived effects of alcohol. </w:t>
            </w:r>
          </w:p>
        </w:tc>
      </w:tr>
      <w:tr w:rsidR="002C3333" w14:paraId="7F80198F" w14:textId="77777777" w:rsidTr="002C3333">
        <w:trPr>
          <w:trHeight w:val="424"/>
        </w:trPr>
        <w:tc>
          <w:tcPr>
            <w:tcW w:w="2240" w:type="dxa"/>
            <w:tcBorders>
              <w:top w:val="single" w:sz="4" w:space="0" w:color="000000"/>
              <w:left w:val="single" w:sz="4" w:space="0" w:color="000000"/>
              <w:bottom w:val="single" w:sz="4" w:space="0" w:color="000000"/>
              <w:right w:val="single" w:sz="4" w:space="0" w:color="000000"/>
            </w:tcBorders>
            <w:hideMark/>
          </w:tcPr>
          <w:p w14:paraId="09DE1FF5" w14:textId="77777777" w:rsidR="002C3333" w:rsidRDefault="002C3333">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297CB6FF" w14:textId="77777777" w:rsidR="002C3333" w:rsidRDefault="002C3333">
            <w:pPr>
              <w:ind w:left="6"/>
            </w:pPr>
            <w:r>
              <w:rPr>
                <w:rFonts w:ascii="Times New Roman" w:eastAsia="Times New Roman" w:hAnsi="Times New Roman" w:cs="Times New Roman"/>
                <w:sz w:val="18"/>
              </w:rPr>
              <w:t xml:space="preserve">Little Smoke, Magic Mushrooms, Purple Passion, Shrooms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8528EF" w14:textId="77777777" w:rsidR="002C3333" w:rsidRDefault="002C3333">
            <w:pPr>
              <w:rPr>
                <w:rFonts w:ascii="Calibri" w:eastAsia="Calibri" w:hAnsi="Calibri" w:cs="Calibri"/>
                <w:color w:val="000000"/>
              </w:rPr>
            </w:pPr>
          </w:p>
        </w:tc>
      </w:tr>
      <w:tr w:rsidR="002C3333" w14:paraId="286F86A3" w14:textId="77777777" w:rsidTr="002C3333">
        <w:trPr>
          <w:trHeight w:val="221"/>
        </w:trPr>
        <w:tc>
          <w:tcPr>
            <w:tcW w:w="2240" w:type="dxa"/>
            <w:tcBorders>
              <w:top w:val="single" w:sz="4" w:space="0" w:color="000000"/>
              <w:left w:val="single" w:sz="4" w:space="0" w:color="000000"/>
              <w:bottom w:val="single" w:sz="4" w:space="0" w:color="000000"/>
              <w:right w:val="single" w:sz="4" w:space="0" w:color="000000"/>
            </w:tcBorders>
            <w:hideMark/>
          </w:tcPr>
          <w:p w14:paraId="706180C0" w14:textId="77777777" w:rsidR="002C3333" w:rsidRDefault="002C3333">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6795450D" w14:textId="77777777" w:rsidR="002C3333" w:rsidRDefault="002C3333">
            <w:pPr>
              <w:ind w:left="6"/>
            </w:pPr>
            <w:r>
              <w:rPr>
                <w:rFonts w:ascii="Times New Roman" w:eastAsia="Times New Roman" w:hAnsi="Times New Roman" w:cs="Times New Roman"/>
                <w:sz w:val="18"/>
              </w:rPr>
              <w:t xml:space="preserve">None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86F4F0" w14:textId="77777777" w:rsidR="002C3333" w:rsidRDefault="002C3333">
            <w:pPr>
              <w:rPr>
                <w:rFonts w:ascii="Calibri" w:eastAsia="Calibri" w:hAnsi="Calibri" w:cs="Calibri"/>
                <w:color w:val="000000"/>
              </w:rPr>
            </w:pPr>
          </w:p>
        </w:tc>
      </w:tr>
      <w:tr w:rsidR="002C3333" w14:paraId="5D6E5E20" w14:textId="77777777" w:rsidTr="002C3333">
        <w:trPr>
          <w:trHeight w:val="422"/>
        </w:trPr>
        <w:tc>
          <w:tcPr>
            <w:tcW w:w="2240" w:type="dxa"/>
            <w:tcBorders>
              <w:top w:val="single" w:sz="4" w:space="0" w:color="000000"/>
              <w:left w:val="single" w:sz="4" w:space="0" w:color="000000"/>
              <w:bottom w:val="single" w:sz="4" w:space="0" w:color="000000"/>
              <w:right w:val="single" w:sz="4" w:space="0" w:color="000000"/>
            </w:tcBorders>
            <w:hideMark/>
          </w:tcPr>
          <w:p w14:paraId="598CE0D2" w14:textId="77777777" w:rsidR="002C3333" w:rsidRDefault="002C3333">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0C99CEAE" w14:textId="77777777" w:rsidR="002C3333" w:rsidRDefault="002C3333">
            <w:pPr>
              <w:ind w:left="6"/>
            </w:pPr>
            <w:r>
              <w:rPr>
                <w:rFonts w:ascii="Times New Roman" w:eastAsia="Times New Roman" w:hAnsi="Times New Roman" w:cs="Times New Roman"/>
                <w:sz w:val="18"/>
              </w:rPr>
              <w:t xml:space="preserve">Fresh or dried mushrooms with long, slender stems topped by caps with dark gills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9A9C64" w14:textId="77777777" w:rsidR="002C3333" w:rsidRDefault="002C3333">
            <w:pPr>
              <w:rPr>
                <w:rFonts w:ascii="Calibri" w:eastAsia="Calibri" w:hAnsi="Calibri" w:cs="Calibri"/>
                <w:color w:val="000000"/>
              </w:rPr>
            </w:pPr>
          </w:p>
        </w:tc>
      </w:tr>
      <w:tr w:rsidR="002C3333" w14:paraId="4C973851" w14:textId="77777777" w:rsidTr="002C3333">
        <w:trPr>
          <w:trHeight w:val="422"/>
        </w:trPr>
        <w:tc>
          <w:tcPr>
            <w:tcW w:w="2240" w:type="dxa"/>
            <w:tcBorders>
              <w:top w:val="single" w:sz="4" w:space="0" w:color="000000"/>
              <w:left w:val="single" w:sz="4" w:space="0" w:color="000000"/>
              <w:bottom w:val="single" w:sz="4" w:space="0" w:color="000000"/>
              <w:right w:val="single" w:sz="4" w:space="0" w:color="000000"/>
            </w:tcBorders>
            <w:hideMark/>
          </w:tcPr>
          <w:p w14:paraId="6E1DDB7F" w14:textId="77777777" w:rsidR="002C3333" w:rsidRDefault="002C3333">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0A7A8A3B" w14:textId="77777777" w:rsidR="002C3333" w:rsidRDefault="002C3333">
            <w:pPr>
              <w:ind w:left="6"/>
            </w:pPr>
            <w:r>
              <w:rPr>
                <w:rFonts w:ascii="Times New Roman" w:eastAsia="Times New Roman" w:hAnsi="Times New Roman" w:cs="Times New Roman"/>
                <w:sz w:val="18"/>
              </w:rPr>
              <w:t xml:space="preserve">Swallowed (eaten, brewed as tea, or added to other foods)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15ACE9" w14:textId="77777777" w:rsidR="002C3333" w:rsidRDefault="002C3333">
            <w:pPr>
              <w:rPr>
                <w:rFonts w:ascii="Calibri" w:eastAsia="Calibri" w:hAnsi="Calibri" w:cs="Calibri"/>
                <w:color w:val="000000"/>
              </w:rPr>
            </w:pPr>
          </w:p>
        </w:tc>
      </w:tr>
      <w:tr w:rsidR="002C3333" w14:paraId="1DC624B7" w14:textId="77777777" w:rsidTr="002C3333">
        <w:trPr>
          <w:trHeight w:val="221"/>
        </w:trPr>
        <w:tc>
          <w:tcPr>
            <w:tcW w:w="2240" w:type="dxa"/>
            <w:tcBorders>
              <w:top w:val="single" w:sz="4" w:space="0" w:color="000000"/>
              <w:left w:val="single" w:sz="4" w:space="0" w:color="000000"/>
              <w:bottom w:val="single" w:sz="4" w:space="0" w:color="000000"/>
              <w:right w:val="single" w:sz="4" w:space="0" w:color="000000"/>
            </w:tcBorders>
            <w:hideMark/>
          </w:tcPr>
          <w:p w14:paraId="605854D0" w14:textId="77777777" w:rsidR="002C3333" w:rsidRDefault="002C3333">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959" w:type="dxa"/>
            <w:tcBorders>
              <w:top w:val="single" w:sz="4" w:space="0" w:color="000000"/>
              <w:left w:val="single" w:sz="4" w:space="0" w:color="000000"/>
              <w:bottom w:val="single" w:sz="4" w:space="0" w:color="000000"/>
              <w:right w:val="single" w:sz="4" w:space="0" w:color="000000"/>
            </w:tcBorders>
            <w:hideMark/>
          </w:tcPr>
          <w:p w14:paraId="37BAA427" w14:textId="77777777" w:rsidR="002C3333" w:rsidRDefault="002C3333">
            <w:pPr>
              <w:ind w:left="6"/>
            </w:pPr>
            <w:r>
              <w:rPr>
                <w:rFonts w:ascii="Times New Roman" w:eastAsia="Times New Roman" w:hAnsi="Times New Roman" w:cs="Times New Roman"/>
                <w:sz w:val="18"/>
              </w:rPr>
              <w:t xml:space="preserve">Schedule I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3837ED" w14:textId="77777777" w:rsidR="002C3333" w:rsidRDefault="002C3333">
            <w:pPr>
              <w:rPr>
                <w:rFonts w:ascii="Calibri" w:eastAsia="Calibri" w:hAnsi="Calibri" w:cs="Calibri"/>
                <w:color w:val="000000"/>
              </w:rPr>
            </w:pPr>
          </w:p>
        </w:tc>
      </w:tr>
    </w:tbl>
    <w:p w14:paraId="557B3B00" w14:textId="77777777" w:rsidR="002C3333" w:rsidRDefault="002C3333" w:rsidP="002C3333">
      <w:pPr>
        <w:spacing w:after="0"/>
        <w:ind w:left="5"/>
        <w:rPr>
          <w:rFonts w:ascii="Calibri" w:eastAsia="Calibri" w:hAnsi="Calibri" w:cs="Calibri"/>
          <w:color w:val="000000"/>
          <w:kern w:val="2"/>
          <w:sz w:val="22"/>
          <w14:ligatures w14:val="standardContextual"/>
        </w:rPr>
      </w:pPr>
      <w:r>
        <w:tab/>
      </w:r>
    </w:p>
    <w:tbl>
      <w:tblPr>
        <w:tblStyle w:val="TableGrid0"/>
        <w:tblW w:w="10170" w:type="dxa"/>
        <w:tblInd w:w="-5" w:type="dxa"/>
        <w:tblCellMar>
          <w:top w:w="5" w:type="dxa"/>
          <w:left w:w="106" w:type="dxa"/>
          <w:right w:w="105" w:type="dxa"/>
        </w:tblCellMar>
        <w:tblLook w:val="04A0" w:firstRow="1" w:lastRow="0" w:firstColumn="1" w:lastColumn="0" w:noHBand="0" w:noVBand="1"/>
      </w:tblPr>
      <w:tblGrid>
        <w:gridCol w:w="2250"/>
        <w:gridCol w:w="3960"/>
        <w:gridCol w:w="3960"/>
      </w:tblGrid>
      <w:tr w:rsidR="002C3333" w14:paraId="05F444FC" w14:textId="77777777" w:rsidTr="002C3333">
        <w:trPr>
          <w:trHeight w:val="345"/>
        </w:trPr>
        <w:tc>
          <w:tcPr>
            <w:tcW w:w="2250" w:type="dxa"/>
            <w:tcBorders>
              <w:top w:val="single" w:sz="4" w:space="0" w:color="000000"/>
              <w:left w:val="single" w:sz="4" w:space="0" w:color="000000"/>
              <w:bottom w:val="single" w:sz="4" w:space="0" w:color="000000"/>
              <w:right w:val="nil"/>
            </w:tcBorders>
            <w:shd w:val="clear" w:color="auto" w:fill="A6B4E4" w:themeFill="text2" w:themeFillTint="40"/>
            <w:hideMark/>
          </w:tcPr>
          <w:p w14:paraId="73934384" w14:textId="77777777" w:rsidR="002C3333" w:rsidRDefault="002C3333">
            <w:r>
              <w:rPr>
                <w:rFonts w:ascii="Times New Roman" w:eastAsia="Times New Roman" w:hAnsi="Times New Roman" w:cs="Times New Roman"/>
                <w:b/>
                <w:sz w:val="18"/>
              </w:rPr>
              <w:t>Rohypnol® (Flunitrazepam)</w:t>
            </w:r>
            <w:r>
              <w:rPr>
                <w:rFonts w:ascii="Times New Roman" w:eastAsia="Times New Roman" w:hAnsi="Times New Roman" w:cs="Times New Roman"/>
                <w:sz w:val="18"/>
              </w:rPr>
              <w:t xml:space="preserve"> </w:t>
            </w:r>
          </w:p>
        </w:tc>
        <w:tc>
          <w:tcPr>
            <w:tcW w:w="3960" w:type="dxa"/>
            <w:tcBorders>
              <w:top w:val="single" w:sz="4" w:space="0" w:color="000000"/>
              <w:left w:val="nil"/>
              <w:bottom w:val="single" w:sz="4" w:space="0" w:color="000000"/>
              <w:right w:val="single" w:sz="4" w:space="0" w:color="000000"/>
            </w:tcBorders>
            <w:shd w:val="clear" w:color="auto" w:fill="A6B4E4" w:themeFill="text2" w:themeFillTint="40"/>
          </w:tcPr>
          <w:p w14:paraId="73921AF5" w14:textId="77777777" w:rsidR="002C3333" w:rsidRDefault="002C3333"/>
        </w:tc>
        <w:tc>
          <w:tcPr>
            <w:tcW w:w="3960" w:type="dxa"/>
            <w:vMerge w:val="restart"/>
            <w:tcBorders>
              <w:top w:val="single" w:sz="4" w:space="0" w:color="000000"/>
              <w:left w:val="single" w:sz="4" w:space="0" w:color="000000"/>
              <w:bottom w:val="single" w:sz="4" w:space="0" w:color="000000"/>
              <w:right w:val="single" w:sz="4" w:space="0" w:color="000000"/>
            </w:tcBorders>
            <w:hideMark/>
          </w:tcPr>
          <w:p w14:paraId="47211A85" w14:textId="77777777" w:rsidR="002C3333" w:rsidRDefault="002C3333">
            <w:pPr>
              <w:ind w:left="9"/>
            </w:pPr>
            <w:r>
              <w:rPr>
                <w:rFonts w:ascii="Times New Roman" w:eastAsia="Times New Roman" w:hAnsi="Times New Roman" w:cs="Times New Roman"/>
                <w:b/>
                <w:sz w:val="18"/>
              </w:rPr>
              <w:t>Possible Health Effects:</w:t>
            </w:r>
            <w:r>
              <w:rPr>
                <w:rFonts w:ascii="Times New Roman" w:eastAsia="Times New Roman" w:hAnsi="Times New Roman" w:cs="Times New Roman"/>
                <w:sz w:val="18"/>
              </w:rPr>
              <w:t xml:space="preserve"> </w:t>
            </w:r>
          </w:p>
          <w:p w14:paraId="5C034159" w14:textId="77777777" w:rsidR="002C3333" w:rsidRDefault="002C3333">
            <w:pPr>
              <w:spacing w:after="5"/>
              <w:ind w:left="7" w:right="24"/>
            </w:pPr>
            <w:r>
              <w:rPr>
                <w:rFonts w:ascii="Times New Roman" w:eastAsia="Times New Roman" w:hAnsi="Times New Roman" w:cs="Times New Roman"/>
                <w:sz w:val="18"/>
                <w:u w:val="single" w:color="000000"/>
              </w:rPr>
              <w:t xml:space="preserve">Short-Term: </w:t>
            </w:r>
            <w:r>
              <w:rPr>
                <w:rFonts w:ascii="Times New Roman" w:eastAsia="Times New Roman" w:hAnsi="Times New Roman" w:cs="Times New Roman"/>
                <w:sz w:val="18"/>
              </w:rPr>
              <w:t xml:space="preserve">Drowsiness, sedation, sleep; amnesia, blackout; decreased anxiety; muscle relaxation, impaired </w:t>
            </w:r>
          </w:p>
          <w:p w14:paraId="03EED5CB" w14:textId="77777777" w:rsidR="002C3333" w:rsidRDefault="002C3333">
            <w:pPr>
              <w:spacing w:after="7" w:line="237" w:lineRule="auto"/>
              <w:ind w:left="7" w:right="166"/>
            </w:pPr>
            <w:r>
              <w:rPr>
                <w:rFonts w:ascii="Times New Roman" w:eastAsia="Times New Roman" w:hAnsi="Times New Roman" w:cs="Times New Roman"/>
                <w:sz w:val="18"/>
              </w:rPr>
              <w:t xml:space="preserve">reaction time and motor coordination; impaired mental functioning and judgment; confusion; aggression; </w:t>
            </w:r>
          </w:p>
          <w:p w14:paraId="7C8C73C8" w14:textId="77777777" w:rsidR="002C3333" w:rsidRDefault="002C3333">
            <w:pPr>
              <w:spacing w:after="5" w:line="232" w:lineRule="auto"/>
              <w:ind w:left="7"/>
            </w:pPr>
            <w:r>
              <w:rPr>
                <w:rFonts w:ascii="Times New Roman" w:eastAsia="Times New Roman" w:hAnsi="Times New Roman" w:cs="Times New Roman"/>
                <w:sz w:val="18"/>
              </w:rPr>
              <w:t xml:space="preserve">excitability; slurred speech; headache; slowed breathing and heart rate. </w:t>
            </w:r>
          </w:p>
          <w:p w14:paraId="3342B1D9" w14:textId="77777777" w:rsidR="002C3333" w:rsidRDefault="002C3333">
            <w:pPr>
              <w:ind w:left="7"/>
            </w:pPr>
            <w:r>
              <w:rPr>
                <w:rFonts w:ascii="Times New Roman" w:eastAsia="Times New Roman" w:hAnsi="Times New Roman" w:cs="Times New Roman"/>
                <w:sz w:val="18"/>
                <w:u w:val="single" w:color="000000"/>
              </w:rPr>
              <w:t xml:space="preserve">Long-Term: </w:t>
            </w:r>
            <w:r>
              <w:rPr>
                <w:rFonts w:ascii="Times New Roman" w:eastAsia="Times New Roman" w:hAnsi="Times New Roman" w:cs="Times New Roman"/>
                <w:sz w:val="18"/>
              </w:rPr>
              <w:t xml:space="preserve">Unknown. </w:t>
            </w:r>
          </w:p>
          <w:p w14:paraId="20ADA4C8" w14:textId="77777777" w:rsidR="002C3333" w:rsidRDefault="002C3333">
            <w:pPr>
              <w:spacing w:line="244" w:lineRule="auto"/>
              <w:ind w:left="7" w:right="86"/>
            </w:pPr>
            <w:r>
              <w:rPr>
                <w:rFonts w:ascii="Times New Roman" w:eastAsia="Times New Roman" w:hAnsi="Times New Roman" w:cs="Times New Roman"/>
                <w:sz w:val="18"/>
                <w:u w:val="single" w:color="000000"/>
              </w:rPr>
              <w:t xml:space="preserve">Other Health-Related Issues: </w:t>
            </w:r>
            <w:r>
              <w:rPr>
                <w:rFonts w:ascii="Times New Roman" w:eastAsia="Times New Roman" w:hAnsi="Times New Roman" w:cs="Times New Roman"/>
                <w:sz w:val="18"/>
              </w:rPr>
              <w:t xml:space="preserve">Unknown. In combination with alcohol, severe sedation, </w:t>
            </w:r>
          </w:p>
          <w:p w14:paraId="4097430E" w14:textId="77777777" w:rsidR="002C3333" w:rsidRDefault="002C3333">
            <w:pPr>
              <w:ind w:left="7" w:right="74"/>
            </w:pPr>
            <w:r>
              <w:rPr>
                <w:rFonts w:ascii="Times New Roman" w:eastAsia="Times New Roman" w:hAnsi="Times New Roman" w:cs="Times New Roman"/>
                <w:sz w:val="18"/>
              </w:rPr>
              <w:t xml:space="preserve">unconsciousness and slowed heart rate and breathing, which can lead to death. Withdrawal symptoms include headache, muscle pain, extreme anxiety, tension, restlessness, confusion, irritability, numbness, tingling of hands or feet, hallucinations, delirium, convulsions, seizures or shock. </w:t>
            </w:r>
          </w:p>
        </w:tc>
      </w:tr>
      <w:tr w:rsidR="002C3333" w14:paraId="45892624" w14:textId="77777777" w:rsidTr="002C3333">
        <w:trPr>
          <w:trHeight w:val="1254"/>
        </w:trPr>
        <w:tc>
          <w:tcPr>
            <w:tcW w:w="2250" w:type="dxa"/>
            <w:tcBorders>
              <w:top w:val="single" w:sz="4" w:space="0" w:color="000000"/>
              <w:left w:val="single" w:sz="4" w:space="0" w:color="000000"/>
              <w:bottom w:val="single" w:sz="4" w:space="0" w:color="000000"/>
              <w:right w:val="single" w:sz="4" w:space="0" w:color="000000"/>
            </w:tcBorders>
            <w:hideMark/>
          </w:tcPr>
          <w:p w14:paraId="0707234F" w14:textId="77777777" w:rsidR="002C3333" w:rsidRDefault="002C3333">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960" w:type="dxa"/>
            <w:tcBorders>
              <w:top w:val="single" w:sz="4" w:space="0" w:color="000000"/>
              <w:left w:val="single" w:sz="4" w:space="0" w:color="000000"/>
              <w:bottom w:val="single" w:sz="4" w:space="0" w:color="000000"/>
              <w:right w:val="single" w:sz="4" w:space="0" w:color="000000"/>
            </w:tcBorders>
            <w:hideMark/>
          </w:tcPr>
          <w:p w14:paraId="37E2442C" w14:textId="77777777" w:rsidR="002C3333" w:rsidRDefault="002C3333">
            <w:pPr>
              <w:spacing w:after="5"/>
              <w:ind w:left="6"/>
            </w:pPr>
            <w:r>
              <w:rPr>
                <w:rFonts w:ascii="Times New Roman" w:eastAsia="Times New Roman" w:hAnsi="Times New Roman" w:cs="Times New Roman"/>
                <w:sz w:val="18"/>
              </w:rPr>
              <w:t xml:space="preserve">Circles, Date Rape Drug, Forget Pill, Forget-Me Pill, La Rocha, Lunch Money, Mexican Valium, </w:t>
            </w:r>
          </w:p>
          <w:p w14:paraId="7E5E27D8" w14:textId="77777777" w:rsidR="002C3333" w:rsidRDefault="002C3333">
            <w:pPr>
              <w:ind w:left="6"/>
            </w:pPr>
            <w:r>
              <w:rPr>
                <w:rFonts w:ascii="Times New Roman" w:eastAsia="Times New Roman" w:hAnsi="Times New Roman" w:cs="Times New Roman"/>
                <w:sz w:val="18"/>
              </w:rPr>
              <w:t xml:space="preserve">Mind Eraser, Pingus, R2, Reynolds, Rib, Roach, </w:t>
            </w:r>
          </w:p>
          <w:p w14:paraId="7D2B7DD4" w14:textId="77777777" w:rsidR="002C3333" w:rsidRDefault="002C3333">
            <w:pPr>
              <w:ind w:left="6"/>
            </w:pPr>
            <w:r>
              <w:rPr>
                <w:rFonts w:ascii="Times New Roman" w:eastAsia="Times New Roman" w:hAnsi="Times New Roman" w:cs="Times New Roman"/>
                <w:sz w:val="18"/>
              </w:rPr>
              <w:t xml:space="preserve">Roach 2, Roaches, Roachies, Roapies, Rochas Dos, Roofies, Rope, Rophies, Row-Shay, Ruffies, Trip- and-Fall, Wolfies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8731AB" w14:textId="77777777" w:rsidR="002C3333" w:rsidRDefault="002C3333">
            <w:pPr>
              <w:rPr>
                <w:rFonts w:ascii="Calibri" w:eastAsia="Calibri" w:hAnsi="Calibri" w:cs="Calibri"/>
                <w:color w:val="000000"/>
              </w:rPr>
            </w:pPr>
          </w:p>
        </w:tc>
      </w:tr>
      <w:tr w:rsidR="002C3333" w14:paraId="3383BBEA" w14:textId="77777777" w:rsidTr="002C3333">
        <w:trPr>
          <w:trHeight w:val="216"/>
        </w:trPr>
        <w:tc>
          <w:tcPr>
            <w:tcW w:w="2250" w:type="dxa"/>
            <w:tcBorders>
              <w:top w:val="single" w:sz="4" w:space="0" w:color="000000"/>
              <w:left w:val="single" w:sz="4" w:space="0" w:color="000000"/>
              <w:bottom w:val="single" w:sz="4" w:space="0" w:color="000000"/>
              <w:right w:val="single" w:sz="4" w:space="0" w:color="000000"/>
            </w:tcBorders>
            <w:hideMark/>
          </w:tcPr>
          <w:p w14:paraId="398915AF" w14:textId="77777777" w:rsidR="002C3333" w:rsidRDefault="002C3333">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960" w:type="dxa"/>
            <w:tcBorders>
              <w:top w:val="single" w:sz="4" w:space="0" w:color="000000"/>
              <w:left w:val="single" w:sz="4" w:space="0" w:color="000000"/>
              <w:bottom w:val="single" w:sz="4" w:space="0" w:color="000000"/>
              <w:right w:val="single" w:sz="4" w:space="0" w:color="000000"/>
            </w:tcBorders>
            <w:hideMark/>
          </w:tcPr>
          <w:p w14:paraId="5B11B5E9" w14:textId="77777777" w:rsidR="002C3333" w:rsidRDefault="002C3333">
            <w:pPr>
              <w:ind w:left="6"/>
            </w:pPr>
            <w:r>
              <w:rPr>
                <w:rFonts w:ascii="Times New Roman" w:eastAsia="Times New Roman" w:hAnsi="Times New Roman" w:cs="Times New Roman"/>
                <w:sz w:val="18"/>
              </w:rPr>
              <w:t xml:space="preserve">Flunitrazepam, Rohypnol®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7C9598" w14:textId="77777777" w:rsidR="002C3333" w:rsidRDefault="002C3333">
            <w:pPr>
              <w:rPr>
                <w:rFonts w:ascii="Calibri" w:eastAsia="Calibri" w:hAnsi="Calibri" w:cs="Calibri"/>
                <w:color w:val="000000"/>
              </w:rPr>
            </w:pPr>
          </w:p>
        </w:tc>
      </w:tr>
      <w:tr w:rsidR="002C3333" w14:paraId="43D4C9B0" w14:textId="77777777" w:rsidTr="002C3333">
        <w:trPr>
          <w:trHeight w:val="216"/>
        </w:trPr>
        <w:tc>
          <w:tcPr>
            <w:tcW w:w="2250" w:type="dxa"/>
            <w:tcBorders>
              <w:top w:val="single" w:sz="4" w:space="0" w:color="000000"/>
              <w:left w:val="single" w:sz="4" w:space="0" w:color="000000"/>
              <w:bottom w:val="single" w:sz="4" w:space="0" w:color="000000"/>
              <w:right w:val="single" w:sz="4" w:space="0" w:color="000000"/>
            </w:tcBorders>
            <w:hideMark/>
          </w:tcPr>
          <w:p w14:paraId="5FCCD5B9" w14:textId="77777777" w:rsidR="002C3333" w:rsidRDefault="002C3333">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960" w:type="dxa"/>
            <w:tcBorders>
              <w:top w:val="single" w:sz="4" w:space="0" w:color="000000"/>
              <w:left w:val="single" w:sz="4" w:space="0" w:color="000000"/>
              <w:bottom w:val="single" w:sz="4" w:space="0" w:color="000000"/>
              <w:right w:val="single" w:sz="4" w:space="0" w:color="000000"/>
            </w:tcBorders>
            <w:hideMark/>
          </w:tcPr>
          <w:p w14:paraId="5030129E" w14:textId="77777777" w:rsidR="002C3333" w:rsidRDefault="002C3333">
            <w:pPr>
              <w:ind w:left="6"/>
            </w:pPr>
            <w:r>
              <w:rPr>
                <w:rFonts w:ascii="Times New Roman" w:eastAsia="Times New Roman" w:hAnsi="Times New Roman" w:cs="Times New Roman"/>
                <w:sz w:val="18"/>
              </w:rPr>
              <w:t xml:space="preserve">Tablet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470D44" w14:textId="77777777" w:rsidR="002C3333" w:rsidRDefault="002C3333">
            <w:pPr>
              <w:rPr>
                <w:rFonts w:ascii="Calibri" w:eastAsia="Calibri" w:hAnsi="Calibri" w:cs="Calibri"/>
                <w:color w:val="000000"/>
              </w:rPr>
            </w:pPr>
          </w:p>
        </w:tc>
      </w:tr>
      <w:tr w:rsidR="002C3333" w14:paraId="7A19DC6F" w14:textId="77777777" w:rsidTr="002C3333">
        <w:trPr>
          <w:trHeight w:val="427"/>
        </w:trPr>
        <w:tc>
          <w:tcPr>
            <w:tcW w:w="2250" w:type="dxa"/>
            <w:tcBorders>
              <w:top w:val="single" w:sz="4" w:space="0" w:color="000000"/>
              <w:left w:val="single" w:sz="4" w:space="0" w:color="000000"/>
              <w:bottom w:val="single" w:sz="4" w:space="0" w:color="000000"/>
              <w:right w:val="single" w:sz="4" w:space="0" w:color="000000"/>
            </w:tcBorders>
            <w:hideMark/>
          </w:tcPr>
          <w:p w14:paraId="554A3290" w14:textId="77777777" w:rsidR="002C3333" w:rsidRDefault="002C3333">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960" w:type="dxa"/>
            <w:tcBorders>
              <w:top w:val="single" w:sz="4" w:space="0" w:color="000000"/>
              <w:left w:val="single" w:sz="4" w:space="0" w:color="000000"/>
              <w:bottom w:val="single" w:sz="4" w:space="0" w:color="000000"/>
              <w:right w:val="single" w:sz="4" w:space="0" w:color="000000"/>
            </w:tcBorders>
            <w:hideMark/>
          </w:tcPr>
          <w:p w14:paraId="1A829F0C" w14:textId="77777777" w:rsidR="002C3333" w:rsidRDefault="002C3333">
            <w:pPr>
              <w:ind w:left="6"/>
            </w:pPr>
            <w:r>
              <w:rPr>
                <w:rFonts w:ascii="Times New Roman" w:eastAsia="Times New Roman" w:hAnsi="Times New Roman" w:cs="Times New Roman"/>
                <w:sz w:val="18"/>
              </w:rPr>
              <w:t xml:space="preserve">Swallowed (as a pill or as dissolved in a drink), snorted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1C55F2" w14:textId="77777777" w:rsidR="002C3333" w:rsidRDefault="002C3333">
            <w:pPr>
              <w:rPr>
                <w:rFonts w:ascii="Calibri" w:eastAsia="Calibri" w:hAnsi="Calibri" w:cs="Calibri"/>
                <w:color w:val="000000"/>
              </w:rPr>
            </w:pPr>
          </w:p>
        </w:tc>
      </w:tr>
      <w:tr w:rsidR="002C3333" w14:paraId="39EBA26A" w14:textId="77777777" w:rsidTr="002C3333">
        <w:trPr>
          <w:trHeight w:val="787"/>
        </w:trPr>
        <w:tc>
          <w:tcPr>
            <w:tcW w:w="2250" w:type="dxa"/>
            <w:tcBorders>
              <w:top w:val="single" w:sz="4" w:space="0" w:color="000000"/>
              <w:left w:val="single" w:sz="4" w:space="0" w:color="000000"/>
              <w:bottom w:val="single" w:sz="4" w:space="0" w:color="000000"/>
              <w:right w:val="single" w:sz="4" w:space="0" w:color="000000"/>
            </w:tcBorders>
            <w:hideMark/>
          </w:tcPr>
          <w:p w14:paraId="4D2A7F04" w14:textId="77777777" w:rsidR="002C3333" w:rsidRDefault="002C3333">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960" w:type="dxa"/>
            <w:tcBorders>
              <w:top w:val="single" w:sz="4" w:space="0" w:color="000000"/>
              <w:left w:val="single" w:sz="4" w:space="0" w:color="000000"/>
              <w:bottom w:val="single" w:sz="4" w:space="0" w:color="000000"/>
              <w:right w:val="single" w:sz="4" w:space="0" w:color="000000"/>
            </w:tcBorders>
            <w:hideMark/>
          </w:tcPr>
          <w:p w14:paraId="72579D7C" w14:textId="77777777" w:rsidR="002C3333" w:rsidRDefault="002C3333">
            <w:pPr>
              <w:ind w:left="6"/>
            </w:pPr>
            <w:r>
              <w:rPr>
                <w:rFonts w:ascii="Times New Roman" w:eastAsia="Times New Roman" w:hAnsi="Times New Roman" w:cs="Times New Roman"/>
                <w:sz w:val="18"/>
              </w:rPr>
              <w:t xml:space="preserve">Schedule IV; Rohypnol® is not approved for medical use in the United States; it is available as a prescription sleep aid in other countries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418081" w14:textId="77777777" w:rsidR="002C3333" w:rsidRDefault="002C3333">
            <w:pPr>
              <w:rPr>
                <w:rFonts w:ascii="Calibri" w:eastAsia="Calibri" w:hAnsi="Calibri" w:cs="Calibri"/>
                <w:color w:val="000000"/>
              </w:rPr>
            </w:pPr>
          </w:p>
        </w:tc>
      </w:tr>
    </w:tbl>
    <w:p w14:paraId="1FC29646" w14:textId="77777777" w:rsidR="002C3333" w:rsidRDefault="002C3333" w:rsidP="002C3333">
      <w:pPr>
        <w:spacing w:after="134"/>
        <w:ind w:left="5"/>
        <w:rPr>
          <w:rFonts w:ascii="Calibri" w:eastAsia="Calibri" w:hAnsi="Calibri" w:cs="Calibri"/>
          <w:color w:val="000000"/>
          <w:kern w:val="2"/>
          <w:sz w:val="20"/>
          <w14:ligatures w14:val="standardContextual"/>
        </w:rPr>
      </w:pPr>
      <w:r>
        <w:rPr>
          <w:sz w:val="20"/>
        </w:rPr>
        <w:tab/>
      </w:r>
      <w:r>
        <w:rPr>
          <w:sz w:val="20"/>
        </w:rPr>
        <w:tab/>
      </w:r>
    </w:p>
    <w:tbl>
      <w:tblPr>
        <w:tblStyle w:val="TableGrid0"/>
        <w:tblW w:w="10170" w:type="dxa"/>
        <w:tblInd w:w="-5" w:type="dxa"/>
        <w:tblCellMar>
          <w:top w:w="5" w:type="dxa"/>
          <w:left w:w="106" w:type="dxa"/>
          <w:right w:w="115" w:type="dxa"/>
        </w:tblCellMar>
        <w:tblLook w:val="04A0" w:firstRow="1" w:lastRow="0" w:firstColumn="1" w:lastColumn="0" w:noHBand="0" w:noVBand="1"/>
      </w:tblPr>
      <w:tblGrid>
        <w:gridCol w:w="2250"/>
        <w:gridCol w:w="3960"/>
        <w:gridCol w:w="3960"/>
      </w:tblGrid>
      <w:tr w:rsidR="002C3333" w14:paraId="6D2446C8" w14:textId="77777777" w:rsidTr="002C3333">
        <w:trPr>
          <w:trHeight w:val="214"/>
        </w:trPr>
        <w:tc>
          <w:tcPr>
            <w:tcW w:w="2250" w:type="dxa"/>
            <w:tcBorders>
              <w:top w:val="single" w:sz="4" w:space="0" w:color="000000"/>
              <w:left w:val="single" w:sz="4" w:space="0" w:color="000000"/>
              <w:bottom w:val="single" w:sz="4" w:space="0" w:color="000000"/>
              <w:right w:val="nil"/>
            </w:tcBorders>
            <w:shd w:val="clear" w:color="auto" w:fill="A6B4E4" w:themeFill="text2" w:themeFillTint="40"/>
            <w:hideMark/>
          </w:tcPr>
          <w:p w14:paraId="070BC623" w14:textId="77777777" w:rsidR="002C3333" w:rsidRDefault="002C3333">
            <w:r>
              <w:rPr>
                <w:rFonts w:ascii="Times New Roman" w:eastAsia="Times New Roman" w:hAnsi="Times New Roman" w:cs="Times New Roman"/>
                <w:b/>
                <w:sz w:val="18"/>
              </w:rPr>
              <w:t>Salvia</w:t>
            </w:r>
            <w:r>
              <w:rPr>
                <w:rFonts w:ascii="Times New Roman" w:eastAsia="Times New Roman" w:hAnsi="Times New Roman" w:cs="Times New Roman"/>
                <w:sz w:val="18"/>
              </w:rPr>
              <w:t xml:space="preserve"> </w:t>
            </w:r>
          </w:p>
        </w:tc>
        <w:tc>
          <w:tcPr>
            <w:tcW w:w="3960" w:type="dxa"/>
            <w:tcBorders>
              <w:top w:val="single" w:sz="4" w:space="0" w:color="000000"/>
              <w:left w:val="nil"/>
              <w:bottom w:val="single" w:sz="4" w:space="0" w:color="000000"/>
              <w:right w:val="single" w:sz="4" w:space="0" w:color="000000"/>
            </w:tcBorders>
            <w:shd w:val="clear" w:color="auto" w:fill="A6B4E4" w:themeFill="text2" w:themeFillTint="40"/>
          </w:tcPr>
          <w:p w14:paraId="69BCE3DC" w14:textId="77777777" w:rsidR="002C3333" w:rsidRDefault="002C3333"/>
        </w:tc>
        <w:tc>
          <w:tcPr>
            <w:tcW w:w="3960" w:type="dxa"/>
            <w:vMerge w:val="restart"/>
            <w:tcBorders>
              <w:top w:val="single" w:sz="4" w:space="0" w:color="000000"/>
              <w:left w:val="single" w:sz="4" w:space="0" w:color="000000"/>
              <w:bottom w:val="single" w:sz="4" w:space="0" w:color="auto"/>
              <w:right w:val="single" w:sz="4" w:space="0" w:color="000000"/>
            </w:tcBorders>
            <w:hideMark/>
          </w:tcPr>
          <w:p w14:paraId="0E7E6324" w14:textId="77777777" w:rsidR="002C3333" w:rsidRDefault="002C3333">
            <w:pPr>
              <w:ind w:left="7"/>
            </w:pPr>
            <w:r>
              <w:rPr>
                <w:rFonts w:ascii="Times New Roman" w:eastAsia="Times New Roman" w:hAnsi="Times New Roman" w:cs="Times New Roman"/>
                <w:b/>
                <w:sz w:val="18"/>
              </w:rPr>
              <w:t>Possible Health Effects:</w:t>
            </w:r>
            <w:r>
              <w:rPr>
                <w:rFonts w:ascii="Times New Roman" w:eastAsia="Times New Roman" w:hAnsi="Times New Roman" w:cs="Times New Roman"/>
                <w:sz w:val="18"/>
              </w:rPr>
              <w:t xml:space="preserve"> </w:t>
            </w:r>
          </w:p>
          <w:p w14:paraId="21AE04FE" w14:textId="77777777" w:rsidR="002C3333" w:rsidRDefault="002C3333">
            <w:pPr>
              <w:ind w:left="7" w:right="426"/>
            </w:pPr>
            <w:r>
              <w:rPr>
                <w:rFonts w:ascii="Times New Roman" w:eastAsia="Times New Roman" w:hAnsi="Times New Roman" w:cs="Times New Roman"/>
                <w:sz w:val="18"/>
                <w:u w:val="single" w:color="000000"/>
              </w:rPr>
              <w:t>Short-Term</w:t>
            </w:r>
            <w:r>
              <w:rPr>
                <w:rFonts w:ascii="Times New Roman" w:eastAsia="Times New Roman" w:hAnsi="Times New Roman" w:cs="Times New Roman"/>
                <w:sz w:val="18"/>
              </w:rPr>
              <w:t xml:space="preserve">: Short-lived but intense hallucinations; altered visual perception, </w:t>
            </w:r>
            <w:r>
              <w:rPr>
                <w:rFonts w:ascii="Times New Roman" w:eastAsia="Times New Roman" w:hAnsi="Times New Roman" w:cs="Times New Roman"/>
                <w:sz w:val="18"/>
              </w:rPr>
              <w:lastRenderedPageBreak/>
              <w:t xml:space="preserve">mood, body sensations; mood swings, feelings of detachment from one’s body; sweating. </w:t>
            </w:r>
            <w:r>
              <w:rPr>
                <w:rFonts w:ascii="Times New Roman" w:eastAsia="Times New Roman" w:hAnsi="Times New Roman" w:cs="Times New Roman"/>
                <w:sz w:val="18"/>
                <w:u w:val="single" w:color="000000"/>
              </w:rPr>
              <w:t xml:space="preserve">Long-Term: </w:t>
            </w:r>
            <w:r>
              <w:rPr>
                <w:rFonts w:ascii="Times New Roman" w:eastAsia="Times New Roman" w:hAnsi="Times New Roman" w:cs="Times New Roman"/>
                <w:sz w:val="18"/>
              </w:rPr>
              <w:t xml:space="preserve">Unknown. </w:t>
            </w:r>
          </w:p>
          <w:p w14:paraId="2C023E7F" w14:textId="77777777" w:rsidR="002C3333" w:rsidRDefault="002C3333">
            <w:pPr>
              <w:ind w:left="7"/>
            </w:pPr>
            <w:r>
              <w:rPr>
                <w:rFonts w:ascii="Times New Roman" w:eastAsia="Times New Roman" w:hAnsi="Times New Roman" w:cs="Times New Roman"/>
                <w:sz w:val="18"/>
              </w:rPr>
              <w:t xml:space="preserve">Other Health-Related Issues: Unknown. </w:t>
            </w:r>
          </w:p>
        </w:tc>
      </w:tr>
      <w:tr w:rsidR="002C3333" w14:paraId="4314813A" w14:textId="77777777" w:rsidTr="002C3333">
        <w:trPr>
          <w:trHeight w:val="428"/>
        </w:trPr>
        <w:tc>
          <w:tcPr>
            <w:tcW w:w="2250" w:type="dxa"/>
            <w:tcBorders>
              <w:top w:val="single" w:sz="4" w:space="0" w:color="000000"/>
              <w:left w:val="single" w:sz="4" w:space="0" w:color="000000"/>
              <w:bottom w:val="single" w:sz="4" w:space="0" w:color="000000"/>
              <w:right w:val="single" w:sz="4" w:space="0" w:color="000000"/>
            </w:tcBorders>
            <w:hideMark/>
          </w:tcPr>
          <w:p w14:paraId="23BC4CC9" w14:textId="77777777" w:rsidR="002C3333" w:rsidRDefault="002C3333">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960" w:type="dxa"/>
            <w:tcBorders>
              <w:top w:val="single" w:sz="4" w:space="0" w:color="000000"/>
              <w:left w:val="single" w:sz="4" w:space="0" w:color="000000"/>
              <w:bottom w:val="single" w:sz="4" w:space="0" w:color="000000"/>
              <w:right w:val="single" w:sz="4" w:space="0" w:color="000000"/>
            </w:tcBorders>
            <w:hideMark/>
          </w:tcPr>
          <w:p w14:paraId="09DA84AD" w14:textId="77777777" w:rsidR="002C3333" w:rsidRDefault="002C3333">
            <w:pPr>
              <w:ind w:left="6"/>
            </w:pPr>
            <w:r>
              <w:rPr>
                <w:rFonts w:ascii="Times New Roman" w:eastAsia="Times New Roman" w:hAnsi="Times New Roman" w:cs="Times New Roman"/>
                <w:sz w:val="18"/>
              </w:rPr>
              <w:t xml:space="preserve">Magic mint, Maria Pastora, Sally-D, Shepherdess’s Herb, Diviner’s Sage </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F20A988" w14:textId="77777777" w:rsidR="002C3333" w:rsidRDefault="002C3333">
            <w:pPr>
              <w:rPr>
                <w:rFonts w:ascii="Calibri" w:eastAsia="Calibri" w:hAnsi="Calibri" w:cs="Calibri"/>
                <w:color w:val="000000"/>
              </w:rPr>
            </w:pPr>
          </w:p>
        </w:tc>
      </w:tr>
      <w:tr w:rsidR="002C3333" w14:paraId="07E8305F" w14:textId="77777777" w:rsidTr="002C3333">
        <w:trPr>
          <w:trHeight w:val="216"/>
        </w:trPr>
        <w:tc>
          <w:tcPr>
            <w:tcW w:w="2250" w:type="dxa"/>
            <w:tcBorders>
              <w:top w:val="single" w:sz="4" w:space="0" w:color="000000"/>
              <w:left w:val="single" w:sz="4" w:space="0" w:color="000000"/>
              <w:bottom w:val="single" w:sz="4" w:space="0" w:color="000000"/>
              <w:right w:val="single" w:sz="4" w:space="0" w:color="000000"/>
            </w:tcBorders>
            <w:hideMark/>
          </w:tcPr>
          <w:p w14:paraId="04AE581A" w14:textId="77777777" w:rsidR="002C3333" w:rsidRDefault="002C3333">
            <w:r>
              <w:rPr>
                <w:rFonts w:ascii="Times New Roman" w:eastAsia="Times New Roman" w:hAnsi="Times New Roman" w:cs="Times New Roman"/>
                <w:b/>
                <w:sz w:val="18"/>
              </w:rPr>
              <w:lastRenderedPageBreak/>
              <w:t>Commercial Name</w:t>
            </w:r>
            <w:r>
              <w:rPr>
                <w:rFonts w:ascii="Times New Roman" w:eastAsia="Times New Roman" w:hAnsi="Times New Roman" w:cs="Times New Roman"/>
                <w:sz w:val="18"/>
              </w:rPr>
              <w:t xml:space="preserve"> </w:t>
            </w:r>
          </w:p>
        </w:tc>
        <w:tc>
          <w:tcPr>
            <w:tcW w:w="3960" w:type="dxa"/>
            <w:tcBorders>
              <w:top w:val="single" w:sz="4" w:space="0" w:color="000000"/>
              <w:left w:val="single" w:sz="4" w:space="0" w:color="000000"/>
              <w:bottom w:val="single" w:sz="4" w:space="0" w:color="000000"/>
              <w:right w:val="single" w:sz="4" w:space="0" w:color="000000"/>
            </w:tcBorders>
            <w:hideMark/>
          </w:tcPr>
          <w:p w14:paraId="2F76A29B" w14:textId="77777777" w:rsidR="002C3333" w:rsidRDefault="002C3333">
            <w:pPr>
              <w:ind w:left="6"/>
            </w:pPr>
            <w:r>
              <w:rPr>
                <w:rFonts w:ascii="Times New Roman" w:eastAsia="Times New Roman" w:hAnsi="Times New Roman" w:cs="Times New Roman"/>
                <w:sz w:val="18"/>
              </w:rPr>
              <w:t xml:space="preserve">Sold legally in most states as Salvia divinorum </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7548E0E2" w14:textId="77777777" w:rsidR="002C3333" w:rsidRDefault="002C3333">
            <w:pPr>
              <w:rPr>
                <w:rFonts w:ascii="Calibri" w:eastAsia="Calibri" w:hAnsi="Calibri" w:cs="Calibri"/>
                <w:color w:val="000000"/>
              </w:rPr>
            </w:pPr>
          </w:p>
        </w:tc>
      </w:tr>
      <w:tr w:rsidR="002C3333" w14:paraId="793063F2" w14:textId="77777777" w:rsidTr="002C3333">
        <w:trPr>
          <w:trHeight w:val="216"/>
        </w:trPr>
        <w:tc>
          <w:tcPr>
            <w:tcW w:w="2250" w:type="dxa"/>
            <w:tcBorders>
              <w:top w:val="single" w:sz="4" w:space="0" w:color="000000"/>
              <w:left w:val="single" w:sz="4" w:space="0" w:color="000000"/>
              <w:bottom w:val="single" w:sz="4" w:space="0" w:color="000000"/>
              <w:right w:val="single" w:sz="4" w:space="0" w:color="000000"/>
            </w:tcBorders>
            <w:hideMark/>
          </w:tcPr>
          <w:p w14:paraId="71946022" w14:textId="77777777" w:rsidR="002C3333" w:rsidRDefault="002C3333">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960" w:type="dxa"/>
            <w:tcBorders>
              <w:top w:val="single" w:sz="4" w:space="0" w:color="000000"/>
              <w:left w:val="single" w:sz="4" w:space="0" w:color="000000"/>
              <w:bottom w:val="single" w:sz="4" w:space="0" w:color="000000"/>
              <w:right w:val="single" w:sz="4" w:space="0" w:color="000000"/>
            </w:tcBorders>
            <w:hideMark/>
          </w:tcPr>
          <w:p w14:paraId="6438FE52" w14:textId="77777777" w:rsidR="002C3333" w:rsidRDefault="002C3333">
            <w:pPr>
              <w:ind w:left="6"/>
            </w:pPr>
            <w:r>
              <w:rPr>
                <w:rFonts w:ascii="Times New Roman" w:eastAsia="Times New Roman" w:hAnsi="Times New Roman" w:cs="Times New Roman"/>
                <w:sz w:val="18"/>
              </w:rPr>
              <w:t xml:space="preserve">Fresh or dried leaves </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7981874C" w14:textId="77777777" w:rsidR="002C3333" w:rsidRDefault="002C3333">
            <w:pPr>
              <w:rPr>
                <w:rFonts w:ascii="Calibri" w:eastAsia="Calibri" w:hAnsi="Calibri" w:cs="Calibri"/>
                <w:color w:val="000000"/>
              </w:rPr>
            </w:pPr>
          </w:p>
        </w:tc>
      </w:tr>
      <w:tr w:rsidR="002C3333" w14:paraId="0339844E" w14:textId="77777777" w:rsidTr="002C3333">
        <w:trPr>
          <w:trHeight w:val="216"/>
        </w:trPr>
        <w:tc>
          <w:tcPr>
            <w:tcW w:w="2250" w:type="dxa"/>
            <w:tcBorders>
              <w:top w:val="single" w:sz="4" w:space="0" w:color="000000"/>
              <w:left w:val="single" w:sz="4" w:space="0" w:color="000000"/>
              <w:bottom w:val="single" w:sz="4" w:space="0" w:color="000000"/>
              <w:right w:val="single" w:sz="4" w:space="0" w:color="000000"/>
            </w:tcBorders>
            <w:hideMark/>
          </w:tcPr>
          <w:p w14:paraId="50772623" w14:textId="77777777" w:rsidR="002C3333" w:rsidRDefault="002C3333">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960" w:type="dxa"/>
            <w:tcBorders>
              <w:top w:val="single" w:sz="4" w:space="0" w:color="000000"/>
              <w:left w:val="single" w:sz="4" w:space="0" w:color="000000"/>
              <w:bottom w:val="single" w:sz="4" w:space="0" w:color="000000"/>
              <w:right w:val="single" w:sz="4" w:space="0" w:color="000000"/>
            </w:tcBorders>
            <w:hideMark/>
          </w:tcPr>
          <w:p w14:paraId="05FEE3DC" w14:textId="77777777" w:rsidR="002C3333" w:rsidRDefault="002C3333">
            <w:pPr>
              <w:ind w:left="6"/>
            </w:pPr>
            <w:r>
              <w:rPr>
                <w:rFonts w:ascii="Times New Roman" w:eastAsia="Times New Roman" w:hAnsi="Times New Roman" w:cs="Times New Roman"/>
                <w:sz w:val="18"/>
              </w:rPr>
              <w:t xml:space="preserve">Smoked, chewed, or brewed as tea </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E782BEA" w14:textId="77777777" w:rsidR="002C3333" w:rsidRDefault="002C3333">
            <w:pPr>
              <w:rPr>
                <w:rFonts w:ascii="Calibri" w:eastAsia="Calibri" w:hAnsi="Calibri" w:cs="Calibri"/>
                <w:color w:val="000000"/>
              </w:rPr>
            </w:pPr>
          </w:p>
        </w:tc>
      </w:tr>
      <w:tr w:rsidR="002C3333" w14:paraId="363B9442" w14:textId="77777777" w:rsidTr="002C3333">
        <w:trPr>
          <w:trHeight w:val="634"/>
        </w:trPr>
        <w:tc>
          <w:tcPr>
            <w:tcW w:w="2250" w:type="dxa"/>
            <w:tcBorders>
              <w:top w:val="single" w:sz="4" w:space="0" w:color="000000"/>
              <w:left w:val="single" w:sz="4" w:space="0" w:color="000000"/>
              <w:bottom w:val="single" w:sz="4" w:space="0" w:color="000000"/>
              <w:right w:val="single" w:sz="4" w:space="0" w:color="000000"/>
            </w:tcBorders>
            <w:hideMark/>
          </w:tcPr>
          <w:p w14:paraId="50956513" w14:textId="77777777" w:rsidR="002C3333" w:rsidRDefault="002C3333">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960" w:type="dxa"/>
            <w:tcBorders>
              <w:top w:val="single" w:sz="4" w:space="0" w:color="000000"/>
              <w:left w:val="single" w:sz="4" w:space="0" w:color="000000"/>
              <w:bottom w:val="single" w:sz="4" w:space="0" w:color="000000"/>
              <w:right w:val="single" w:sz="4" w:space="0" w:color="000000"/>
            </w:tcBorders>
            <w:hideMark/>
          </w:tcPr>
          <w:p w14:paraId="0E536159" w14:textId="77777777" w:rsidR="002C3333" w:rsidRDefault="002C3333">
            <w:pPr>
              <w:ind w:left="6"/>
            </w:pPr>
            <w:r>
              <w:rPr>
                <w:rFonts w:ascii="Times New Roman" w:eastAsia="Times New Roman" w:hAnsi="Times New Roman" w:cs="Times New Roman"/>
                <w:sz w:val="18"/>
              </w:rPr>
              <w:t xml:space="preserve">Not Scheduled </w:t>
            </w:r>
          </w:p>
          <w:p w14:paraId="2FCA5CD7" w14:textId="77777777" w:rsidR="002C3333" w:rsidRDefault="002C3333">
            <w:pPr>
              <w:ind w:left="6"/>
            </w:pPr>
            <w:r>
              <w:rPr>
                <w:rFonts w:ascii="Times New Roman" w:eastAsia="Times New Roman" w:hAnsi="Times New Roman" w:cs="Times New Roman"/>
                <w:sz w:val="18"/>
              </w:rPr>
              <w:t xml:space="preserve">(but labeled drug of concern by DEA and illegal in some states) </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01585EDA" w14:textId="77777777" w:rsidR="002C3333" w:rsidRDefault="002C3333">
            <w:pPr>
              <w:rPr>
                <w:rFonts w:ascii="Calibri" w:eastAsia="Calibri" w:hAnsi="Calibri" w:cs="Calibri"/>
                <w:color w:val="000000"/>
              </w:rPr>
            </w:pPr>
          </w:p>
        </w:tc>
      </w:tr>
    </w:tbl>
    <w:p w14:paraId="26B37142" w14:textId="77777777" w:rsidR="002C3333" w:rsidRDefault="002C3333" w:rsidP="002C3333">
      <w:pPr>
        <w:spacing w:after="0"/>
        <w:ind w:left="5"/>
        <w:rPr>
          <w:rFonts w:ascii="Calibri" w:eastAsia="Calibri" w:hAnsi="Calibri" w:cs="Calibri"/>
          <w:color w:val="000000"/>
          <w:kern w:val="2"/>
          <w:sz w:val="22"/>
          <w14:ligatures w14:val="standardContextual"/>
        </w:rPr>
      </w:pPr>
      <w:r>
        <w:rPr>
          <w:sz w:val="20"/>
        </w:rPr>
        <w:tab/>
      </w:r>
    </w:p>
    <w:tbl>
      <w:tblPr>
        <w:tblStyle w:val="TableGrid0"/>
        <w:tblW w:w="10170" w:type="dxa"/>
        <w:tblInd w:w="-5" w:type="dxa"/>
        <w:tblCellMar>
          <w:top w:w="5" w:type="dxa"/>
          <w:left w:w="106" w:type="dxa"/>
          <w:right w:w="57" w:type="dxa"/>
        </w:tblCellMar>
        <w:tblLook w:val="04A0" w:firstRow="1" w:lastRow="0" w:firstColumn="1" w:lastColumn="0" w:noHBand="0" w:noVBand="1"/>
      </w:tblPr>
      <w:tblGrid>
        <w:gridCol w:w="2250"/>
        <w:gridCol w:w="3960"/>
        <w:gridCol w:w="3960"/>
      </w:tblGrid>
      <w:tr w:rsidR="002C3333" w14:paraId="0E7A4E33" w14:textId="77777777" w:rsidTr="002C3333">
        <w:trPr>
          <w:trHeight w:val="214"/>
        </w:trPr>
        <w:tc>
          <w:tcPr>
            <w:tcW w:w="2250" w:type="dxa"/>
            <w:tcBorders>
              <w:top w:val="single" w:sz="4" w:space="0" w:color="000000"/>
              <w:left w:val="single" w:sz="4" w:space="0" w:color="000000"/>
              <w:bottom w:val="single" w:sz="4" w:space="0" w:color="000000"/>
              <w:right w:val="nil"/>
            </w:tcBorders>
            <w:shd w:val="clear" w:color="auto" w:fill="A6B4E4" w:themeFill="text2" w:themeFillTint="40"/>
            <w:hideMark/>
          </w:tcPr>
          <w:p w14:paraId="4D0CC8A4" w14:textId="77777777" w:rsidR="002C3333" w:rsidRDefault="002C3333">
            <w:r>
              <w:rPr>
                <w:rFonts w:ascii="Times New Roman" w:eastAsia="Times New Roman" w:hAnsi="Times New Roman" w:cs="Times New Roman"/>
                <w:b/>
                <w:sz w:val="18"/>
              </w:rPr>
              <w:t>Steroids (Anabolic)</w:t>
            </w:r>
            <w:r>
              <w:rPr>
                <w:rFonts w:ascii="Times New Roman" w:eastAsia="Times New Roman" w:hAnsi="Times New Roman" w:cs="Times New Roman"/>
                <w:sz w:val="18"/>
              </w:rPr>
              <w:t xml:space="preserve"> </w:t>
            </w:r>
          </w:p>
        </w:tc>
        <w:tc>
          <w:tcPr>
            <w:tcW w:w="3960" w:type="dxa"/>
            <w:tcBorders>
              <w:top w:val="single" w:sz="4" w:space="0" w:color="000000"/>
              <w:left w:val="nil"/>
              <w:bottom w:val="single" w:sz="4" w:space="0" w:color="000000"/>
              <w:right w:val="single" w:sz="4" w:space="0" w:color="000000"/>
            </w:tcBorders>
            <w:shd w:val="clear" w:color="auto" w:fill="A6B4E4" w:themeFill="text2" w:themeFillTint="40"/>
          </w:tcPr>
          <w:p w14:paraId="7E7A2958" w14:textId="77777777" w:rsidR="002C3333" w:rsidRDefault="002C3333"/>
        </w:tc>
        <w:tc>
          <w:tcPr>
            <w:tcW w:w="3960" w:type="dxa"/>
            <w:vMerge w:val="restart"/>
            <w:tcBorders>
              <w:top w:val="single" w:sz="4" w:space="0" w:color="000000"/>
              <w:left w:val="single" w:sz="4" w:space="0" w:color="000000"/>
              <w:bottom w:val="single" w:sz="4" w:space="0" w:color="000000"/>
              <w:right w:val="single" w:sz="4" w:space="0" w:color="000000"/>
            </w:tcBorders>
            <w:hideMark/>
          </w:tcPr>
          <w:p w14:paraId="2F911925" w14:textId="77777777" w:rsidR="002C3333" w:rsidRDefault="002C3333">
            <w:pPr>
              <w:ind w:left="7"/>
            </w:pPr>
            <w:r>
              <w:rPr>
                <w:rFonts w:ascii="Times New Roman" w:eastAsia="Times New Roman" w:hAnsi="Times New Roman" w:cs="Times New Roman"/>
                <w:b/>
                <w:sz w:val="18"/>
              </w:rPr>
              <w:t>Possible Health Effects:</w:t>
            </w:r>
            <w:r>
              <w:rPr>
                <w:rFonts w:ascii="Times New Roman" w:eastAsia="Times New Roman" w:hAnsi="Times New Roman" w:cs="Times New Roman"/>
                <w:sz w:val="18"/>
              </w:rPr>
              <w:t xml:space="preserve"> </w:t>
            </w:r>
          </w:p>
          <w:p w14:paraId="6C7E63CD" w14:textId="77777777" w:rsidR="002C3333" w:rsidRDefault="002C3333">
            <w:pPr>
              <w:spacing w:after="5" w:line="232" w:lineRule="auto"/>
              <w:ind w:left="7"/>
              <w:jc w:val="both"/>
            </w:pPr>
            <w:r>
              <w:rPr>
                <w:rFonts w:ascii="Times New Roman" w:eastAsia="Times New Roman" w:hAnsi="Times New Roman" w:cs="Times New Roman"/>
                <w:sz w:val="18"/>
                <w:u w:val="single" w:color="000000"/>
              </w:rPr>
              <w:t>Short-Term</w:t>
            </w:r>
            <w:r>
              <w:rPr>
                <w:rFonts w:ascii="Times New Roman" w:eastAsia="Times New Roman" w:hAnsi="Times New Roman" w:cs="Times New Roman"/>
                <w:sz w:val="18"/>
              </w:rPr>
              <w:t xml:space="preserve">: Headache, acne, fluid retention (especially in </w:t>
            </w:r>
          </w:p>
          <w:p w14:paraId="47C794A0" w14:textId="77777777" w:rsidR="002C3333" w:rsidRDefault="002C3333">
            <w:pPr>
              <w:spacing w:after="5"/>
              <w:ind w:left="7" w:right="383"/>
            </w:pPr>
            <w:r>
              <w:rPr>
                <w:rFonts w:ascii="Times New Roman" w:eastAsia="Times New Roman" w:hAnsi="Times New Roman" w:cs="Times New Roman"/>
                <w:sz w:val="18"/>
              </w:rPr>
              <w:t xml:space="preserve">the hands and feet), oily skin, yellowing of the skin and whites of the eyes, infection at the injection site. </w:t>
            </w:r>
          </w:p>
          <w:p w14:paraId="4E9DA05B" w14:textId="77777777" w:rsidR="002C3333" w:rsidRDefault="002C3333">
            <w:pPr>
              <w:spacing w:after="7" w:line="237" w:lineRule="auto"/>
              <w:ind w:left="7"/>
            </w:pPr>
            <w:r>
              <w:rPr>
                <w:rFonts w:ascii="Times New Roman" w:eastAsia="Times New Roman" w:hAnsi="Times New Roman" w:cs="Times New Roman"/>
                <w:sz w:val="18"/>
                <w:u w:val="single" w:color="000000"/>
              </w:rPr>
              <w:t xml:space="preserve">Long-Term: </w:t>
            </w:r>
            <w:r>
              <w:rPr>
                <w:rFonts w:ascii="Times New Roman" w:eastAsia="Times New Roman" w:hAnsi="Times New Roman" w:cs="Times New Roman"/>
                <w:sz w:val="18"/>
              </w:rPr>
              <w:t xml:space="preserve">Kidney damage or failure; liver damage; high blood pressure, enlarged heart, or changes in cholesterol </w:t>
            </w:r>
          </w:p>
          <w:p w14:paraId="101DA1EC" w14:textId="77777777" w:rsidR="002C3333" w:rsidRDefault="002C3333">
            <w:pPr>
              <w:spacing w:after="10" w:line="232" w:lineRule="auto"/>
              <w:ind w:left="7"/>
            </w:pPr>
            <w:r>
              <w:rPr>
                <w:rFonts w:ascii="Times New Roman" w:eastAsia="Times New Roman" w:hAnsi="Times New Roman" w:cs="Times New Roman"/>
                <w:sz w:val="18"/>
              </w:rPr>
              <w:t xml:space="preserve">leading to increased risk of stroke or heart attack, even in young people; aggression; extreme mood swings; anger </w:t>
            </w:r>
          </w:p>
          <w:p w14:paraId="5BD98C8F" w14:textId="77777777" w:rsidR="002C3333" w:rsidRDefault="002C3333">
            <w:pPr>
              <w:spacing w:after="10" w:line="232" w:lineRule="auto"/>
              <w:ind w:left="7" w:right="321"/>
            </w:pPr>
            <w:r>
              <w:rPr>
                <w:rFonts w:ascii="Times New Roman" w:eastAsia="Times New Roman" w:hAnsi="Times New Roman" w:cs="Times New Roman"/>
                <w:sz w:val="18"/>
              </w:rPr>
              <w:t xml:space="preserve">("Roid rage"); paranoid jealousy; extreme irritability; delusions; impaired judgment. </w:t>
            </w:r>
          </w:p>
          <w:p w14:paraId="43F24222" w14:textId="77777777" w:rsidR="002C3333" w:rsidRDefault="002C3333">
            <w:pPr>
              <w:spacing w:after="2" w:line="237" w:lineRule="auto"/>
              <w:ind w:left="7" w:right="148"/>
            </w:pPr>
            <w:r>
              <w:rPr>
                <w:rFonts w:ascii="Times New Roman" w:eastAsia="Times New Roman" w:hAnsi="Times New Roman" w:cs="Times New Roman"/>
                <w:sz w:val="18"/>
                <w:u w:val="single" w:color="000000"/>
              </w:rPr>
              <w:t xml:space="preserve">Other Health-Related Issues: </w:t>
            </w:r>
            <w:r>
              <w:rPr>
                <w:rFonts w:ascii="Times New Roman" w:eastAsia="Times New Roman" w:hAnsi="Times New Roman" w:cs="Times New Roman"/>
                <w:sz w:val="18"/>
              </w:rPr>
              <w:t xml:space="preserve">Males: shrunken testicles, lowered sperm count, infertility, baldness, development of breasts, increased risk for prostate cancer. </w:t>
            </w:r>
          </w:p>
          <w:p w14:paraId="3FDFF9AE" w14:textId="77777777" w:rsidR="002C3333" w:rsidRDefault="002C3333">
            <w:pPr>
              <w:ind w:left="7"/>
            </w:pPr>
            <w:r>
              <w:rPr>
                <w:rFonts w:ascii="Times New Roman" w:eastAsia="Times New Roman" w:hAnsi="Times New Roman" w:cs="Times New Roman"/>
                <w:sz w:val="18"/>
              </w:rPr>
              <w:t>Females: facial hair, male-pattern baldness, menstrual cycle changes, enlargement of the clitoris, deepened</w:t>
            </w:r>
          </w:p>
        </w:tc>
      </w:tr>
      <w:tr w:rsidR="002C3333" w14:paraId="5352A587" w14:textId="77777777" w:rsidTr="002C3333">
        <w:trPr>
          <w:trHeight w:val="222"/>
        </w:trPr>
        <w:tc>
          <w:tcPr>
            <w:tcW w:w="2250" w:type="dxa"/>
            <w:tcBorders>
              <w:top w:val="single" w:sz="4" w:space="0" w:color="000000"/>
              <w:left w:val="single" w:sz="4" w:space="0" w:color="000000"/>
              <w:bottom w:val="single" w:sz="4" w:space="0" w:color="000000"/>
              <w:right w:val="single" w:sz="4" w:space="0" w:color="000000"/>
            </w:tcBorders>
            <w:hideMark/>
          </w:tcPr>
          <w:p w14:paraId="0516A0AB" w14:textId="77777777" w:rsidR="002C3333" w:rsidRDefault="002C3333">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960" w:type="dxa"/>
            <w:tcBorders>
              <w:top w:val="single" w:sz="4" w:space="0" w:color="000000"/>
              <w:left w:val="single" w:sz="4" w:space="0" w:color="000000"/>
              <w:bottom w:val="single" w:sz="4" w:space="0" w:color="000000"/>
              <w:right w:val="single" w:sz="4" w:space="0" w:color="000000"/>
            </w:tcBorders>
            <w:hideMark/>
          </w:tcPr>
          <w:p w14:paraId="501E850E" w14:textId="77777777" w:rsidR="002C3333" w:rsidRDefault="002C3333">
            <w:pPr>
              <w:ind w:left="6"/>
            </w:pPr>
            <w:r>
              <w:rPr>
                <w:rFonts w:ascii="Times New Roman" w:eastAsia="Times New Roman" w:hAnsi="Times New Roman" w:cs="Times New Roman"/>
                <w:sz w:val="18"/>
              </w:rPr>
              <w:t xml:space="preserve">Juice, Gym Candy, Pumpers, Roids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E3481F" w14:textId="77777777" w:rsidR="002C3333" w:rsidRDefault="002C3333">
            <w:pPr>
              <w:rPr>
                <w:rFonts w:ascii="Calibri" w:eastAsia="Calibri" w:hAnsi="Calibri" w:cs="Calibri"/>
                <w:color w:val="000000"/>
              </w:rPr>
            </w:pPr>
          </w:p>
        </w:tc>
      </w:tr>
      <w:tr w:rsidR="002C3333" w14:paraId="70E04309" w14:textId="77777777" w:rsidTr="002C3333">
        <w:trPr>
          <w:trHeight w:val="835"/>
        </w:trPr>
        <w:tc>
          <w:tcPr>
            <w:tcW w:w="2250" w:type="dxa"/>
            <w:tcBorders>
              <w:top w:val="single" w:sz="4" w:space="0" w:color="000000"/>
              <w:left w:val="single" w:sz="4" w:space="0" w:color="000000"/>
              <w:bottom w:val="single" w:sz="4" w:space="0" w:color="000000"/>
              <w:right w:val="single" w:sz="4" w:space="0" w:color="000000"/>
            </w:tcBorders>
            <w:hideMark/>
          </w:tcPr>
          <w:p w14:paraId="24A504D6" w14:textId="77777777" w:rsidR="002C3333" w:rsidRDefault="002C3333">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960" w:type="dxa"/>
            <w:tcBorders>
              <w:top w:val="single" w:sz="4" w:space="0" w:color="000000"/>
              <w:left w:val="single" w:sz="4" w:space="0" w:color="000000"/>
              <w:bottom w:val="single" w:sz="4" w:space="0" w:color="000000"/>
              <w:right w:val="single" w:sz="4" w:space="0" w:color="000000"/>
            </w:tcBorders>
            <w:hideMark/>
          </w:tcPr>
          <w:p w14:paraId="69B74295" w14:textId="77777777" w:rsidR="002C3333" w:rsidRDefault="002C3333">
            <w:pPr>
              <w:ind w:left="6"/>
            </w:pPr>
            <w:r>
              <w:rPr>
                <w:rFonts w:ascii="Times New Roman" w:eastAsia="Times New Roman" w:hAnsi="Times New Roman" w:cs="Times New Roman"/>
                <w:sz w:val="18"/>
              </w:rPr>
              <w:t xml:space="preserve">Nandrolone (Oxandrin®), oxandrolone </w:t>
            </w:r>
          </w:p>
          <w:p w14:paraId="36823ADA" w14:textId="77777777" w:rsidR="002C3333" w:rsidRDefault="002C3333">
            <w:pPr>
              <w:ind w:left="6"/>
            </w:pPr>
            <w:r>
              <w:rPr>
                <w:rFonts w:ascii="Times New Roman" w:eastAsia="Times New Roman" w:hAnsi="Times New Roman" w:cs="Times New Roman"/>
                <w:sz w:val="18"/>
              </w:rPr>
              <w:t xml:space="preserve">(Anadrol®), oxymetholone (Winstrol®), stanozolol (Durabolin®), testosterone cypionate (Depo- testosterone®)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18862D" w14:textId="77777777" w:rsidR="002C3333" w:rsidRDefault="002C3333">
            <w:pPr>
              <w:rPr>
                <w:rFonts w:ascii="Calibri" w:eastAsia="Calibri" w:hAnsi="Calibri" w:cs="Calibri"/>
                <w:color w:val="000000"/>
              </w:rPr>
            </w:pPr>
          </w:p>
        </w:tc>
      </w:tr>
      <w:tr w:rsidR="002C3333" w14:paraId="4B479663" w14:textId="77777777" w:rsidTr="002C3333">
        <w:trPr>
          <w:trHeight w:val="427"/>
        </w:trPr>
        <w:tc>
          <w:tcPr>
            <w:tcW w:w="2250" w:type="dxa"/>
            <w:tcBorders>
              <w:top w:val="single" w:sz="4" w:space="0" w:color="000000"/>
              <w:left w:val="single" w:sz="4" w:space="0" w:color="000000"/>
              <w:bottom w:val="single" w:sz="4" w:space="0" w:color="000000"/>
              <w:right w:val="single" w:sz="4" w:space="0" w:color="000000"/>
            </w:tcBorders>
            <w:hideMark/>
          </w:tcPr>
          <w:p w14:paraId="6678B68A" w14:textId="77777777" w:rsidR="002C3333" w:rsidRDefault="002C3333">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960" w:type="dxa"/>
            <w:tcBorders>
              <w:top w:val="single" w:sz="4" w:space="0" w:color="000000"/>
              <w:left w:val="single" w:sz="4" w:space="0" w:color="000000"/>
              <w:bottom w:val="single" w:sz="4" w:space="0" w:color="000000"/>
              <w:right w:val="single" w:sz="4" w:space="0" w:color="000000"/>
            </w:tcBorders>
            <w:hideMark/>
          </w:tcPr>
          <w:p w14:paraId="3FFFB927" w14:textId="77777777" w:rsidR="002C3333" w:rsidRDefault="002C3333">
            <w:pPr>
              <w:ind w:left="6"/>
            </w:pPr>
            <w:r>
              <w:rPr>
                <w:rFonts w:ascii="Times New Roman" w:eastAsia="Times New Roman" w:hAnsi="Times New Roman" w:cs="Times New Roman"/>
                <w:sz w:val="18"/>
              </w:rPr>
              <w:t xml:space="preserve">Tablet, capsule, liquid drops, gel, cream, patch, injectable solution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6EF205" w14:textId="77777777" w:rsidR="002C3333" w:rsidRDefault="002C3333">
            <w:pPr>
              <w:rPr>
                <w:rFonts w:ascii="Calibri" w:eastAsia="Calibri" w:hAnsi="Calibri" w:cs="Calibri"/>
                <w:color w:val="000000"/>
              </w:rPr>
            </w:pPr>
          </w:p>
        </w:tc>
      </w:tr>
      <w:tr w:rsidR="002C3333" w14:paraId="5DC1B540" w14:textId="77777777" w:rsidTr="002C3333">
        <w:trPr>
          <w:trHeight w:val="216"/>
        </w:trPr>
        <w:tc>
          <w:tcPr>
            <w:tcW w:w="2250" w:type="dxa"/>
            <w:tcBorders>
              <w:top w:val="single" w:sz="4" w:space="0" w:color="000000"/>
              <w:left w:val="single" w:sz="4" w:space="0" w:color="000000"/>
              <w:bottom w:val="single" w:sz="4" w:space="0" w:color="000000"/>
              <w:right w:val="single" w:sz="4" w:space="0" w:color="000000"/>
            </w:tcBorders>
            <w:hideMark/>
          </w:tcPr>
          <w:p w14:paraId="14613560" w14:textId="77777777" w:rsidR="002C3333" w:rsidRDefault="002C3333">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960" w:type="dxa"/>
            <w:tcBorders>
              <w:top w:val="single" w:sz="4" w:space="0" w:color="000000"/>
              <w:left w:val="single" w:sz="4" w:space="0" w:color="000000"/>
              <w:bottom w:val="single" w:sz="4" w:space="0" w:color="000000"/>
              <w:right w:val="single" w:sz="4" w:space="0" w:color="000000"/>
            </w:tcBorders>
            <w:hideMark/>
          </w:tcPr>
          <w:p w14:paraId="70495C71" w14:textId="77777777" w:rsidR="002C3333" w:rsidRDefault="002C3333">
            <w:pPr>
              <w:ind w:left="6"/>
            </w:pPr>
            <w:r>
              <w:rPr>
                <w:rFonts w:ascii="Times New Roman" w:eastAsia="Times New Roman" w:hAnsi="Times New Roman" w:cs="Times New Roman"/>
                <w:sz w:val="18"/>
              </w:rPr>
              <w:t xml:space="preserve">Injected, swallowed, applied to skin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6C6093" w14:textId="77777777" w:rsidR="002C3333" w:rsidRDefault="002C3333">
            <w:pPr>
              <w:rPr>
                <w:rFonts w:ascii="Calibri" w:eastAsia="Calibri" w:hAnsi="Calibri" w:cs="Calibri"/>
                <w:color w:val="000000"/>
              </w:rPr>
            </w:pPr>
          </w:p>
        </w:tc>
      </w:tr>
      <w:tr w:rsidR="002C3333" w14:paraId="127F4939" w14:textId="77777777" w:rsidTr="002C3333">
        <w:trPr>
          <w:trHeight w:val="1824"/>
        </w:trPr>
        <w:tc>
          <w:tcPr>
            <w:tcW w:w="2250" w:type="dxa"/>
            <w:tcBorders>
              <w:top w:val="single" w:sz="4" w:space="0" w:color="000000"/>
              <w:left w:val="single" w:sz="4" w:space="0" w:color="000000"/>
              <w:bottom w:val="single" w:sz="4" w:space="0" w:color="000000"/>
              <w:right w:val="single" w:sz="4" w:space="0" w:color="000000"/>
            </w:tcBorders>
            <w:hideMark/>
          </w:tcPr>
          <w:p w14:paraId="6B534DE3" w14:textId="77777777" w:rsidR="002C3333" w:rsidRDefault="002C3333">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960" w:type="dxa"/>
            <w:tcBorders>
              <w:top w:val="single" w:sz="4" w:space="0" w:color="000000"/>
              <w:left w:val="single" w:sz="4" w:space="0" w:color="000000"/>
              <w:bottom w:val="single" w:sz="4" w:space="0" w:color="000000"/>
              <w:right w:val="single" w:sz="4" w:space="0" w:color="000000"/>
            </w:tcBorders>
            <w:hideMark/>
          </w:tcPr>
          <w:p w14:paraId="75DFDE0B" w14:textId="77777777" w:rsidR="002C3333" w:rsidRDefault="002C3333">
            <w:pPr>
              <w:ind w:left="6"/>
            </w:pPr>
            <w:r>
              <w:rPr>
                <w:rFonts w:ascii="Times New Roman" w:eastAsia="Times New Roman" w:hAnsi="Times New Roman" w:cs="Times New Roman"/>
                <w:sz w:val="18"/>
              </w:rPr>
              <w:t xml:space="preserve">Schedule III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565172" w14:textId="77777777" w:rsidR="002C3333" w:rsidRDefault="002C3333">
            <w:pPr>
              <w:rPr>
                <w:rFonts w:ascii="Calibri" w:eastAsia="Calibri" w:hAnsi="Calibri" w:cs="Calibri"/>
                <w:color w:val="000000"/>
              </w:rPr>
            </w:pPr>
          </w:p>
        </w:tc>
      </w:tr>
    </w:tbl>
    <w:p w14:paraId="3828DC22" w14:textId="77777777" w:rsidR="002C3333" w:rsidRDefault="002C3333" w:rsidP="002C3333">
      <w:pPr>
        <w:tabs>
          <w:tab w:val="right" w:pos="10163"/>
        </w:tabs>
        <w:spacing w:after="0"/>
        <w:rPr>
          <w:rFonts w:ascii="Calibri" w:eastAsia="Calibri" w:hAnsi="Calibri" w:cs="Calibri"/>
          <w:color w:val="000000"/>
          <w:kern w:val="2"/>
          <w:sz w:val="22"/>
          <w14:ligatures w14:val="standardContextual"/>
        </w:rPr>
      </w:pPr>
      <w:r>
        <w:rPr>
          <w:sz w:val="20"/>
        </w:rPr>
        <w:tab/>
      </w:r>
      <w:r>
        <w:rPr>
          <w:rFonts w:ascii="Times New Roman" w:eastAsia="Times New Roman" w:hAnsi="Times New Roman" w:cs="Times New Roman"/>
          <w:sz w:val="18"/>
        </w:rPr>
        <w:t xml:space="preserve"> </w:t>
      </w:r>
    </w:p>
    <w:tbl>
      <w:tblPr>
        <w:tblStyle w:val="TableGrid0"/>
        <w:tblW w:w="10170" w:type="dxa"/>
        <w:tblInd w:w="-5" w:type="dxa"/>
        <w:tblCellMar>
          <w:top w:w="5" w:type="dxa"/>
          <w:left w:w="106" w:type="dxa"/>
          <w:right w:w="115" w:type="dxa"/>
        </w:tblCellMar>
        <w:tblLook w:val="04A0" w:firstRow="1" w:lastRow="0" w:firstColumn="1" w:lastColumn="0" w:noHBand="0" w:noVBand="1"/>
      </w:tblPr>
      <w:tblGrid>
        <w:gridCol w:w="2250"/>
        <w:gridCol w:w="3960"/>
        <w:gridCol w:w="3960"/>
      </w:tblGrid>
      <w:tr w:rsidR="002C3333" w14:paraId="3F3FB391" w14:textId="77777777" w:rsidTr="002C3333">
        <w:trPr>
          <w:trHeight w:val="214"/>
        </w:trPr>
        <w:tc>
          <w:tcPr>
            <w:tcW w:w="6210" w:type="dxa"/>
            <w:gridSpan w:val="2"/>
            <w:tcBorders>
              <w:top w:val="single" w:sz="4" w:space="0" w:color="000000"/>
              <w:left w:val="single" w:sz="4" w:space="0" w:color="000000"/>
              <w:bottom w:val="single" w:sz="4" w:space="0" w:color="000000"/>
              <w:right w:val="single" w:sz="4" w:space="0" w:color="000000"/>
            </w:tcBorders>
            <w:shd w:val="clear" w:color="auto" w:fill="A6B4E4" w:themeFill="text2" w:themeFillTint="40"/>
            <w:hideMark/>
          </w:tcPr>
          <w:p w14:paraId="1291E8AF" w14:textId="77777777" w:rsidR="002C3333" w:rsidRDefault="002C3333">
            <w:r>
              <w:rPr>
                <w:rFonts w:ascii="Times New Roman" w:eastAsia="Times New Roman" w:hAnsi="Times New Roman" w:cs="Times New Roman"/>
                <w:b/>
                <w:sz w:val="18"/>
              </w:rPr>
              <w:t>Synthetic Cannabinoids ("K2" / "Spice")</w:t>
            </w:r>
            <w:r>
              <w:rPr>
                <w:rFonts w:ascii="Times New Roman" w:eastAsia="Times New Roman" w:hAnsi="Times New Roman" w:cs="Times New Roman"/>
                <w:sz w:val="18"/>
              </w:rPr>
              <w:t xml:space="preserve"> </w:t>
            </w:r>
          </w:p>
        </w:tc>
        <w:tc>
          <w:tcPr>
            <w:tcW w:w="3960" w:type="dxa"/>
            <w:vMerge w:val="restart"/>
            <w:tcBorders>
              <w:top w:val="single" w:sz="4" w:space="0" w:color="000000"/>
              <w:left w:val="single" w:sz="4" w:space="0" w:color="000000"/>
              <w:bottom w:val="single" w:sz="4" w:space="0" w:color="000000"/>
              <w:right w:val="single" w:sz="4" w:space="0" w:color="000000"/>
            </w:tcBorders>
            <w:hideMark/>
          </w:tcPr>
          <w:p w14:paraId="02983D5F" w14:textId="77777777" w:rsidR="002C3333" w:rsidRDefault="002C3333">
            <w:pPr>
              <w:ind w:left="7"/>
            </w:pPr>
            <w:r>
              <w:rPr>
                <w:rFonts w:ascii="Times New Roman" w:eastAsia="Times New Roman" w:hAnsi="Times New Roman" w:cs="Times New Roman"/>
                <w:b/>
                <w:sz w:val="18"/>
              </w:rPr>
              <w:t>Possible Health Effects:</w:t>
            </w:r>
            <w:r>
              <w:rPr>
                <w:rFonts w:ascii="Times New Roman" w:eastAsia="Times New Roman" w:hAnsi="Times New Roman" w:cs="Times New Roman"/>
                <w:sz w:val="18"/>
              </w:rPr>
              <w:t xml:space="preserve"> </w:t>
            </w:r>
          </w:p>
          <w:p w14:paraId="2577170B" w14:textId="77777777" w:rsidR="002C3333" w:rsidRDefault="002C3333">
            <w:pPr>
              <w:ind w:left="7"/>
            </w:pPr>
            <w:r>
              <w:rPr>
                <w:rFonts w:ascii="Times New Roman" w:eastAsia="Times New Roman" w:hAnsi="Times New Roman" w:cs="Times New Roman"/>
                <w:sz w:val="18"/>
                <w:u w:val="single" w:color="000000"/>
              </w:rPr>
              <w:t>Short-Term</w:t>
            </w:r>
            <w:r>
              <w:rPr>
                <w:rFonts w:ascii="Times New Roman" w:eastAsia="Times New Roman" w:hAnsi="Times New Roman" w:cs="Times New Roman"/>
                <w:sz w:val="18"/>
              </w:rPr>
              <w:t xml:space="preserve">: Increased heart rate; vomiting; agitation; confusion; hallucinations, anxiety, paranoia; increased blood pressure and reduced blood supply to the heart; heart attack. </w:t>
            </w:r>
          </w:p>
          <w:p w14:paraId="64BBB6F2" w14:textId="77777777" w:rsidR="002C3333" w:rsidRDefault="002C3333">
            <w:pPr>
              <w:ind w:left="7"/>
            </w:pPr>
            <w:r>
              <w:rPr>
                <w:rFonts w:ascii="Times New Roman" w:eastAsia="Times New Roman" w:hAnsi="Times New Roman" w:cs="Times New Roman"/>
                <w:sz w:val="18"/>
                <w:u w:val="single" w:color="000000"/>
              </w:rPr>
              <w:t xml:space="preserve">Long-Term: </w:t>
            </w:r>
            <w:r>
              <w:rPr>
                <w:rFonts w:ascii="Times New Roman" w:eastAsia="Times New Roman" w:hAnsi="Times New Roman" w:cs="Times New Roman"/>
                <w:sz w:val="18"/>
              </w:rPr>
              <w:t xml:space="preserve">Unknown. </w:t>
            </w:r>
          </w:p>
          <w:p w14:paraId="10664A5E" w14:textId="77777777" w:rsidR="002C3333" w:rsidRDefault="002C3333">
            <w:pPr>
              <w:ind w:left="7"/>
            </w:pPr>
            <w:r>
              <w:rPr>
                <w:rFonts w:ascii="Times New Roman" w:eastAsia="Times New Roman" w:hAnsi="Times New Roman" w:cs="Times New Roman"/>
                <w:sz w:val="18"/>
                <w:u w:val="single" w:color="000000"/>
              </w:rPr>
              <w:t>Other Health-Related Issues</w:t>
            </w:r>
            <w:r>
              <w:rPr>
                <w:rFonts w:ascii="Times New Roman" w:eastAsia="Times New Roman" w:hAnsi="Times New Roman" w:cs="Times New Roman"/>
                <w:sz w:val="18"/>
              </w:rPr>
              <w:t xml:space="preserve">: Use of synthetic cannabinoids has led to an increase in emergency room visits in certain areas. </w:t>
            </w:r>
          </w:p>
        </w:tc>
      </w:tr>
      <w:tr w:rsidR="002C3333" w14:paraId="6E6F0C36" w14:textId="77777777" w:rsidTr="002C3333">
        <w:trPr>
          <w:trHeight w:val="635"/>
        </w:trPr>
        <w:tc>
          <w:tcPr>
            <w:tcW w:w="2250" w:type="dxa"/>
            <w:tcBorders>
              <w:top w:val="single" w:sz="4" w:space="0" w:color="000000"/>
              <w:left w:val="single" w:sz="4" w:space="0" w:color="000000"/>
              <w:bottom w:val="single" w:sz="4" w:space="0" w:color="000000"/>
              <w:right w:val="single" w:sz="4" w:space="0" w:color="000000"/>
            </w:tcBorders>
            <w:hideMark/>
          </w:tcPr>
          <w:p w14:paraId="09D89D18" w14:textId="77777777" w:rsidR="002C3333" w:rsidRDefault="002C3333">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960" w:type="dxa"/>
            <w:tcBorders>
              <w:top w:val="single" w:sz="4" w:space="0" w:color="000000"/>
              <w:left w:val="single" w:sz="4" w:space="0" w:color="000000"/>
              <w:bottom w:val="single" w:sz="4" w:space="0" w:color="000000"/>
              <w:right w:val="single" w:sz="4" w:space="0" w:color="000000"/>
            </w:tcBorders>
            <w:hideMark/>
          </w:tcPr>
          <w:p w14:paraId="560F45E8" w14:textId="77777777" w:rsidR="002C3333" w:rsidRDefault="002C3333">
            <w:pPr>
              <w:ind w:left="6"/>
            </w:pPr>
            <w:r>
              <w:rPr>
                <w:rFonts w:ascii="Times New Roman" w:eastAsia="Times New Roman" w:hAnsi="Times New Roman" w:cs="Times New Roman"/>
                <w:sz w:val="18"/>
              </w:rPr>
              <w:t xml:space="preserve">K2, Spice, Black Mamba, Bliss, Bombay Blue, </w:t>
            </w:r>
          </w:p>
          <w:p w14:paraId="22F9CB38" w14:textId="77777777" w:rsidR="002C3333" w:rsidRDefault="002C3333">
            <w:pPr>
              <w:ind w:left="6"/>
            </w:pPr>
            <w:r>
              <w:rPr>
                <w:rFonts w:ascii="Times New Roman" w:eastAsia="Times New Roman" w:hAnsi="Times New Roman" w:cs="Times New Roman"/>
                <w:sz w:val="18"/>
              </w:rPr>
              <w:t xml:space="preserve">Fake Weed, Fire, Genie, Moon Rocks, Skunk, Smacked, Yucatan, Zohai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F5F96F" w14:textId="77777777" w:rsidR="002C3333" w:rsidRDefault="002C3333">
            <w:pPr>
              <w:rPr>
                <w:rFonts w:ascii="Calibri" w:eastAsia="Calibri" w:hAnsi="Calibri" w:cs="Calibri"/>
                <w:color w:val="000000"/>
              </w:rPr>
            </w:pPr>
          </w:p>
        </w:tc>
      </w:tr>
      <w:tr w:rsidR="002C3333" w14:paraId="5D453615" w14:textId="77777777" w:rsidTr="002C3333">
        <w:trPr>
          <w:trHeight w:val="216"/>
        </w:trPr>
        <w:tc>
          <w:tcPr>
            <w:tcW w:w="2250" w:type="dxa"/>
            <w:tcBorders>
              <w:top w:val="single" w:sz="4" w:space="0" w:color="000000"/>
              <w:left w:val="single" w:sz="4" w:space="0" w:color="000000"/>
              <w:bottom w:val="single" w:sz="4" w:space="0" w:color="000000"/>
              <w:right w:val="single" w:sz="4" w:space="0" w:color="000000"/>
            </w:tcBorders>
            <w:hideMark/>
          </w:tcPr>
          <w:p w14:paraId="35345B3E" w14:textId="77777777" w:rsidR="002C3333" w:rsidRDefault="002C3333">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960" w:type="dxa"/>
            <w:tcBorders>
              <w:top w:val="single" w:sz="4" w:space="0" w:color="000000"/>
              <w:left w:val="single" w:sz="4" w:space="0" w:color="000000"/>
              <w:bottom w:val="single" w:sz="4" w:space="0" w:color="000000"/>
              <w:right w:val="single" w:sz="4" w:space="0" w:color="000000"/>
            </w:tcBorders>
            <w:hideMark/>
          </w:tcPr>
          <w:p w14:paraId="349D3B75" w14:textId="77777777" w:rsidR="002C3333" w:rsidRDefault="002C3333">
            <w:pPr>
              <w:ind w:left="6"/>
            </w:pPr>
            <w:r>
              <w:rPr>
                <w:rFonts w:ascii="Times New Roman" w:eastAsia="Times New Roman" w:hAnsi="Times New Roman" w:cs="Times New Roman"/>
                <w:sz w:val="18"/>
              </w:rPr>
              <w:t xml:space="preserve">None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FEBA7E" w14:textId="77777777" w:rsidR="002C3333" w:rsidRDefault="002C3333">
            <w:pPr>
              <w:rPr>
                <w:rFonts w:ascii="Calibri" w:eastAsia="Calibri" w:hAnsi="Calibri" w:cs="Calibri"/>
                <w:color w:val="000000"/>
              </w:rPr>
            </w:pPr>
          </w:p>
        </w:tc>
      </w:tr>
      <w:tr w:rsidR="002C3333" w14:paraId="40FAAD29" w14:textId="77777777" w:rsidTr="002C3333">
        <w:trPr>
          <w:trHeight w:val="422"/>
        </w:trPr>
        <w:tc>
          <w:tcPr>
            <w:tcW w:w="2250" w:type="dxa"/>
            <w:tcBorders>
              <w:top w:val="single" w:sz="4" w:space="0" w:color="000000"/>
              <w:left w:val="single" w:sz="4" w:space="0" w:color="000000"/>
              <w:bottom w:val="single" w:sz="4" w:space="0" w:color="000000"/>
              <w:right w:val="single" w:sz="4" w:space="0" w:color="000000"/>
            </w:tcBorders>
            <w:hideMark/>
          </w:tcPr>
          <w:p w14:paraId="4338BA51" w14:textId="77777777" w:rsidR="002C3333" w:rsidRDefault="002C3333">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960" w:type="dxa"/>
            <w:tcBorders>
              <w:top w:val="single" w:sz="4" w:space="0" w:color="000000"/>
              <w:left w:val="single" w:sz="4" w:space="0" w:color="000000"/>
              <w:bottom w:val="single" w:sz="4" w:space="0" w:color="000000"/>
              <w:right w:val="single" w:sz="4" w:space="0" w:color="000000"/>
            </w:tcBorders>
            <w:hideMark/>
          </w:tcPr>
          <w:p w14:paraId="72508479" w14:textId="77777777" w:rsidR="002C3333" w:rsidRDefault="002C3333">
            <w:pPr>
              <w:ind w:left="6"/>
            </w:pPr>
            <w:r>
              <w:rPr>
                <w:rFonts w:ascii="Times New Roman" w:eastAsia="Times New Roman" w:hAnsi="Times New Roman" w:cs="Times New Roman"/>
                <w:sz w:val="18"/>
              </w:rPr>
              <w:t xml:space="preserve">Dried, shredded plant material that looks like potpourri and is sometimes sold as "incense"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F70800" w14:textId="77777777" w:rsidR="002C3333" w:rsidRDefault="002C3333">
            <w:pPr>
              <w:rPr>
                <w:rFonts w:ascii="Calibri" w:eastAsia="Calibri" w:hAnsi="Calibri" w:cs="Calibri"/>
                <w:color w:val="000000"/>
              </w:rPr>
            </w:pPr>
          </w:p>
        </w:tc>
      </w:tr>
      <w:tr w:rsidR="002C3333" w14:paraId="3A04BE41" w14:textId="77777777" w:rsidTr="002C3333">
        <w:trPr>
          <w:trHeight w:val="221"/>
        </w:trPr>
        <w:tc>
          <w:tcPr>
            <w:tcW w:w="2250" w:type="dxa"/>
            <w:tcBorders>
              <w:top w:val="single" w:sz="4" w:space="0" w:color="000000"/>
              <w:left w:val="single" w:sz="4" w:space="0" w:color="000000"/>
              <w:bottom w:val="single" w:sz="4" w:space="0" w:color="000000"/>
              <w:right w:val="single" w:sz="4" w:space="0" w:color="000000"/>
            </w:tcBorders>
            <w:hideMark/>
          </w:tcPr>
          <w:p w14:paraId="6BD1CA78" w14:textId="77777777" w:rsidR="002C3333" w:rsidRDefault="002C3333">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960" w:type="dxa"/>
            <w:tcBorders>
              <w:top w:val="single" w:sz="4" w:space="0" w:color="000000"/>
              <w:left w:val="single" w:sz="4" w:space="0" w:color="000000"/>
              <w:bottom w:val="single" w:sz="4" w:space="0" w:color="000000"/>
              <w:right w:val="single" w:sz="4" w:space="0" w:color="000000"/>
            </w:tcBorders>
            <w:hideMark/>
          </w:tcPr>
          <w:p w14:paraId="6A514FDB" w14:textId="77777777" w:rsidR="002C3333" w:rsidRDefault="002C3333">
            <w:pPr>
              <w:ind w:left="6"/>
            </w:pPr>
            <w:r>
              <w:rPr>
                <w:rFonts w:ascii="Times New Roman" w:eastAsia="Times New Roman" w:hAnsi="Times New Roman" w:cs="Times New Roman"/>
                <w:sz w:val="18"/>
              </w:rPr>
              <w:t xml:space="preserve">Smoked, swallowed (brewed as tea)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7184E9" w14:textId="77777777" w:rsidR="002C3333" w:rsidRDefault="002C3333">
            <w:pPr>
              <w:rPr>
                <w:rFonts w:ascii="Calibri" w:eastAsia="Calibri" w:hAnsi="Calibri" w:cs="Calibri"/>
                <w:color w:val="000000"/>
              </w:rPr>
            </w:pPr>
          </w:p>
        </w:tc>
      </w:tr>
      <w:tr w:rsidR="002C3333" w14:paraId="50499758" w14:textId="77777777" w:rsidTr="002C3333">
        <w:trPr>
          <w:trHeight w:val="216"/>
        </w:trPr>
        <w:tc>
          <w:tcPr>
            <w:tcW w:w="2250" w:type="dxa"/>
            <w:tcBorders>
              <w:top w:val="single" w:sz="4" w:space="0" w:color="000000"/>
              <w:left w:val="single" w:sz="4" w:space="0" w:color="000000"/>
              <w:bottom w:val="single" w:sz="4" w:space="0" w:color="000000"/>
              <w:right w:val="single" w:sz="4" w:space="0" w:color="000000"/>
            </w:tcBorders>
            <w:hideMark/>
          </w:tcPr>
          <w:p w14:paraId="630394C2" w14:textId="77777777" w:rsidR="002C3333" w:rsidRDefault="002C3333">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960" w:type="dxa"/>
            <w:tcBorders>
              <w:top w:val="single" w:sz="4" w:space="0" w:color="000000"/>
              <w:left w:val="single" w:sz="4" w:space="0" w:color="000000"/>
              <w:bottom w:val="single" w:sz="4" w:space="0" w:color="000000"/>
              <w:right w:val="single" w:sz="4" w:space="0" w:color="000000"/>
            </w:tcBorders>
            <w:hideMark/>
          </w:tcPr>
          <w:p w14:paraId="1B6ECBD1" w14:textId="77777777" w:rsidR="002C3333" w:rsidRDefault="002C3333">
            <w:pPr>
              <w:ind w:left="6"/>
            </w:pPr>
            <w:r>
              <w:rPr>
                <w:rFonts w:ascii="Times New Roman" w:eastAsia="Times New Roman" w:hAnsi="Times New Roman" w:cs="Times New Roman"/>
                <w:sz w:val="18"/>
              </w:rPr>
              <w:t xml:space="preserve">Schedule I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8DD5A4" w14:textId="77777777" w:rsidR="002C3333" w:rsidRDefault="002C3333">
            <w:pPr>
              <w:rPr>
                <w:rFonts w:ascii="Calibri" w:eastAsia="Calibri" w:hAnsi="Calibri" w:cs="Calibri"/>
                <w:color w:val="000000"/>
              </w:rPr>
            </w:pPr>
          </w:p>
        </w:tc>
      </w:tr>
    </w:tbl>
    <w:p w14:paraId="323FEF99" w14:textId="77777777" w:rsidR="002C3333" w:rsidRDefault="002C3333" w:rsidP="002C3333">
      <w:pPr>
        <w:spacing w:after="0"/>
        <w:ind w:left="5"/>
        <w:rPr>
          <w:rFonts w:ascii="Calibri" w:eastAsia="Calibri" w:hAnsi="Calibri" w:cs="Calibri"/>
          <w:color w:val="000000"/>
          <w:kern w:val="2"/>
          <w:sz w:val="22"/>
          <w14:ligatures w14:val="standardContextual"/>
        </w:rPr>
      </w:pPr>
      <w:r>
        <w:tab/>
      </w:r>
    </w:p>
    <w:tbl>
      <w:tblPr>
        <w:tblStyle w:val="TableGrid0"/>
        <w:tblW w:w="10170" w:type="dxa"/>
        <w:tblInd w:w="-5" w:type="dxa"/>
        <w:tblCellMar>
          <w:top w:w="10" w:type="dxa"/>
          <w:left w:w="106" w:type="dxa"/>
          <w:right w:w="92" w:type="dxa"/>
        </w:tblCellMar>
        <w:tblLook w:val="04A0" w:firstRow="1" w:lastRow="0" w:firstColumn="1" w:lastColumn="0" w:noHBand="0" w:noVBand="1"/>
      </w:tblPr>
      <w:tblGrid>
        <w:gridCol w:w="2250"/>
        <w:gridCol w:w="3960"/>
        <w:gridCol w:w="3960"/>
      </w:tblGrid>
      <w:tr w:rsidR="002C3333" w14:paraId="1F0D6947" w14:textId="77777777" w:rsidTr="002C3333">
        <w:trPr>
          <w:trHeight w:val="214"/>
        </w:trPr>
        <w:tc>
          <w:tcPr>
            <w:tcW w:w="2250" w:type="dxa"/>
            <w:tcBorders>
              <w:top w:val="single" w:sz="4" w:space="0" w:color="000000"/>
              <w:left w:val="single" w:sz="4" w:space="0" w:color="000000"/>
              <w:bottom w:val="single" w:sz="4" w:space="0" w:color="000000"/>
              <w:right w:val="nil"/>
            </w:tcBorders>
            <w:shd w:val="clear" w:color="auto" w:fill="A6B4E4" w:themeFill="text2" w:themeFillTint="40"/>
            <w:hideMark/>
          </w:tcPr>
          <w:p w14:paraId="59D7983F" w14:textId="77777777" w:rsidR="002C3333" w:rsidRDefault="002C3333">
            <w:r>
              <w:rPr>
                <w:rFonts w:ascii="Times New Roman" w:eastAsia="Times New Roman" w:hAnsi="Times New Roman" w:cs="Times New Roman"/>
                <w:b/>
                <w:sz w:val="18"/>
              </w:rPr>
              <w:t>Tobacco</w:t>
            </w:r>
            <w:r>
              <w:rPr>
                <w:rFonts w:ascii="Times New Roman" w:eastAsia="Times New Roman" w:hAnsi="Times New Roman" w:cs="Times New Roman"/>
                <w:sz w:val="18"/>
              </w:rPr>
              <w:t xml:space="preserve"> </w:t>
            </w:r>
          </w:p>
        </w:tc>
        <w:tc>
          <w:tcPr>
            <w:tcW w:w="3960" w:type="dxa"/>
            <w:tcBorders>
              <w:top w:val="single" w:sz="4" w:space="0" w:color="000000"/>
              <w:left w:val="nil"/>
              <w:bottom w:val="single" w:sz="4" w:space="0" w:color="000000"/>
              <w:right w:val="single" w:sz="4" w:space="0" w:color="000000"/>
            </w:tcBorders>
            <w:shd w:val="clear" w:color="auto" w:fill="A6B4E4" w:themeFill="text2" w:themeFillTint="40"/>
          </w:tcPr>
          <w:p w14:paraId="3EF896A8" w14:textId="77777777" w:rsidR="002C3333" w:rsidRDefault="002C3333"/>
        </w:tc>
        <w:tc>
          <w:tcPr>
            <w:tcW w:w="3960" w:type="dxa"/>
            <w:vMerge w:val="restart"/>
            <w:tcBorders>
              <w:top w:val="single" w:sz="4" w:space="0" w:color="000000"/>
              <w:left w:val="single" w:sz="4" w:space="0" w:color="000000"/>
              <w:bottom w:val="single" w:sz="4" w:space="0" w:color="000000"/>
              <w:right w:val="single" w:sz="4" w:space="0" w:color="000000"/>
            </w:tcBorders>
            <w:hideMark/>
          </w:tcPr>
          <w:p w14:paraId="61B888D7" w14:textId="77777777" w:rsidR="002C3333" w:rsidRDefault="002C3333">
            <w:pPr>
              <w:ind w:left="7"/>
            </w:pPr>
            <w:r>
              <w:rPr>
                <w:rFonts w:ascii="Times New Roman" w:eastAsia="Times New Roman" w:hAnsi="Times New Roman" w:cs="Times New Roman"/>
                <w:b/>
                <w:sz w:val="18"/>
              </w:rPr>
              <w:t>Possible Health Effects:</w:t>
            </w:r>
            <w:r>
              <w:rPr>
                <w:rFonts w:ascii="Times New Roman" w:eastAsia="Times New Roman" w:hAnsi="Times New Roman" w:cs="Times New Roman"/>
                <w:sz w:val="18"/>
              </w:rPr>
              <w:t xml:space="preserve"> </w:t>
            </w:r>
          </w:p>
          <w:p w14:paraId="7F6689D3" w14:textId="77777777" w:rsidR="002C3333" w:rsidRDefault="002C3333">
            <w:pPr>
              <w:spacing w:after="5"/>
              <w:ind w:left="7"/>
            </w:pPr>
            <w:r>
              <w:rPr>
                <w:rFonts w:ascii="Times New Roman" w:eastAsia="Times New Roman" w:hAnsi="Times New Roman" w:cs="Times New Roman"/>
                <w:sz w:val="18"/>
                <w:u w:val="single" w:color="000000"/>
              </w:rPr>
              <w:t xml:space="preserve">Short-term: </w:t>
            </w:r>
            <w:r>
              <w:rPr>
                <w:rFonts w:ascii="Times New Roman" w:eastAsia="Times New Roman" w:hAnsi="Times New Roman" w:cs="Times New Roman"/>
                <w:sz w:val="18"/>
              </w:rPr>
              <w:t xml:space="preserve">Increased blood pressure, breathing, and heart rate. </w:t>
            </w:r>
          </w:p>
          <w:p w14:paraId="1BC26F2C" w14:textId="77777777" w:rsidR="002C3333" w:rsidRDefault="002C3333">
            <w:pPr>
              <w:spacing w:after="7" w:line="237" w:lineRule="auto"/>
              <w:ind w:left="7"/>
            </w:pPr>
            <w:r>
              <w:rPr>
                <w:rFonts w:ascii="Times New Roman" w:eastAsia="Times New Roman" w:hAnsi="Times New Roman" w:cs="Times New Roman"/>
                <w:sz w:val="18"/>
                <w:u w:val="single" w:color="000000"/>
              </w:rPr>
              <w:t xml:space="preserve">Long-Term: </w:t>
            </w:r>
            <w:r>
              <w:rPr>
                <w:rFonts w:ascii="Times New Roman" w:eastAsia="Times New Roman" w:hAnsi="Times New Roman" w:cs="Times New Roman"/>
                <w:sz w:val="18"/>
              </w:rPr>
              <w:t xml:space="preserve">Greatly increased risk of cancer, especially lung cancer when smoked and oral cancers when chewed; </w:t>
            </w:r>
          </w:p>
          <w:p w14:paraId="0D2FA6DB" w14:textId="77777777" w:rsidR="002C3333" w:rsidRDefault="002C3333">
            <w:pPr>
              <w:spacing w:after="10" w:line="232" w:lineRule="auto"/>
              <w:ind w:left="7"/>
            </w:pPr>
            <w:r>
              <w:rPr>
                <w:rFonts w:ascii="Times New Roman" w:eastAsia="Times New Roman" w:hAnsi="Times New Roman" w:cs="Times New Roman"/>
                <w:sz w:val="18"/>
              </w:rPr>
              <w:t xml:space="preserve">chronic bronchitis; emphysema; heart disease; leukemia; cataracts; pneumonia. </w:t>
            </w:r>
          </w:p>
          <w:p w14:paraId="7820D80D" w14:textId="77777777" w:rsidR="002C3333" w:rsidRDefault="002C3333">
            <w:pPr>
              <w:ind w:left="7"/>
            </w:pPr>
            <w:r>
              <w:rPr>
                <w:rFonts w:ascii="Times New Roman" w:eastAsia="Times New Roman" w:hAnsi="Times New Roman" w:cs="Times New Roman"/>
                <w:sz w:val="18"/>
                <w:u w:val="single" w:color="000000"/>
              </w:rPr>
              <w:t>Other Health-Related Issues</w:t>
            </w:r>
            <w:r>
              <w:rPr>
                <w:rFonts w:ascii="Times New Roman" w:eastAsia="Times New Roman" w:hAnsi="Times New Roman" w:cs="Times New Roman"/>
                <w:sz w:val="18"/>
              </w:rPr>
              <w:t xml:space="preserve">: Pregnancy: miscarriage, low birth weight, premature delivery and stillbirth, and </w:t>
            </w:r>
          </w:p>
        </w:tc>
      </w:tr>
      <w:tr w:rsidR="002C3333" w14:paraId="5DE7C345" w14:textId="77777777" w:rsidTr="002C3333">
        <w:trPr>
          <w:trHeight w:val="217"/>
        </w:trPr>
        <w:tc>
          <w:tcPr>
            <w:tcW w:w="2250" w:type="dxa"/>
            <w:tcBorders>
              <w:top w:val="single" w:sz="4" w:space="0" w:color="000000"/>
              <w:left w:val="single" w:sz="4" w:space="0" w:color="000000"/>
              <w:bottom w:val="single" w:sz="4" w:space="0" w:color="000000"/>
              <w:right w:val="single" w:sz="4" w:space="0" w:color="000000"/>
            </w:tcBorders>
            <w:hideMark/>
          </w:tcPr>
          <w:p w14:paraId="608C9AB0" w14:textId="77777777" w:rsidR="002C3333" w:rsidRDefault="002C3333">
            <w:r>
              <w:rPr>
                <w:rFonts w:ascii="Times New Roman" w:eastAsia="Times New Roman" w:hAnsi="Times New Roman" w:cs="Times New Roman"/>
                <w:b/>
                <w:sz w:val="18"/>
              </w:rPr>
              <w:t>Street Name</w:t>
            </w:r>
            <w:r>
              <w:rPr>
                <w:rFonts w:ascii="Times New Roman" w:eastAsia="Times New Roman" w:hAnsi="Times New Roman" w:cs="Times New Roman"/>
                <w:sz w:val="18"/>
              </w:rPr>
              <w:t xml:space="preserve"> </w:t>
            </w:r>
          </w:p>
        </w:tc>
        <w:tc>
          <w:tcPr>
            <w:tcW w:w="3960" w:type="dxa"/>
            <w:tcBorders>
              <w:top w:val="single" w:sz="4" w:space="0" w:color="000000"/>
              <w:left w:val="single" w:sz="4" w:space="0" w:color="000000"/>
              <w:bottom w:val="single" w:sz="4" w:space="0" w:color="000000"/>
              <w:right w:val="single" w:sz="4" w:space="0" w:color="000000"/>
            </w:tcBorders>
            <w:hideMark/>
          </w:tcPr>
          <w:p w14:paraId="0D17403C" w14:textId="77777777" w:rsidR="002C3333" w:rsidRDefault="002C3333">
            <w:pPr>
              <w:ind w:left="6"/>
            </w:pPr>
            <w:r>
              <w:rPr>
                <w:rFonts w:ascii="Times New Roman" w:eastAsia="Times New Roman" w:hAnsi="Times New Roman" w:cs="Times New Roman"/>
                <w:sz w:val="18"/>
              </w:rPr>
              <w:t xml:space="preserve">None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07FFA8" w14:textId="77777777" w:rsidR="002C3333" w:rsidRDefault="002C3333">
            <w:pPr>
              <w:rPr>
                <w:rFonts w:ascii="Calibri" w:eastAsia="Calibri" w:hAnsi="Calibri" w:cs="Calibri"/>
                <w:color w:val="000000"/>
              </w:rPr>
            </w:pPr>
          </w:p>
        </w:tc>
      </w:tr>
      <w:tr w:rsidR="002C3333" w14:paraId="5A2BE8D8" w14:textId="77777777" w:rsidTr="002C3333">
        <w:trPr>
          <w:trHeight w:val="221"/>
        </w:trPr>
        <w:tc>
          <w:tcPr>
            <w:tcW w:w="2250" w:type="dxa"/>
            <w:tcBorders>
              <w:top w:val="single" w:sz="4" w:space="0" w:color="000000"/>
              <w:left w:val="single" w:sz="4" w:space="0" w:color="000000"/>
              <w:bottom w:val="single" w:sz="4" w:space="0" w:color="000000"/>
              <w:right w:val="single" w:sz="4" w:space="0" w:color="000000"/>
            </w:tcBorders>
            <w:hideMark/>
          </w:tcPr>
          <w:p w14:paraId="1F3B15D8" w14:textId="77777777" w:rsidR="002C3333" w:rsidRDefault="002C3333">
            <w:r>
              <w:rPr>
                <w:rFonts w:ascii="Times New Roman" w:eastAsia="Times New Roman" w:hAnsi="Times New Roman" w:cs="Times New Roman"/>
                <w:b/>
                <w:sz w:val="18"/>
              </w:rPr>
              <w:t>Commercial Name</w:t>
            </w:r>
            <w:r>
              <w:rPr>
                <w:rFonts w:ascii="Times New Roman" w:eastAsia="Times New Roman" w:hAnsi="Times New Roman" w:cs="Times New Roman"/>
                <w:sz w:val="18"/>
              </w:rPr>
              <w:t xml:space="preserve"> </w:t>
            </w:r>
          </w:p>
        </w:tc>
        <w:tc>
          <w:tcPr>
            <w:tcW w:w="3960" w:type="dxa"/>
            <w:tcBorders>
              <w:top w:val="single" w:sz="4" w:space="0" w:color="000000"/>
              <w:left w:val="single" w:sz="4" w:space="0" w:color="000000"/>
              <w:bottom w:val="single" w:sz="4" w:space="0" w:color="000000"/>
              <w:right w:val="single" w:sz="4" w:space="0" w:color="000000"/>
            </w:tcBorders>
            <w:hideMark/>
          </w:tcPr>
          <w:p w14:paraId="38C1C8E6" w14:textId="77777777" w:rsidR="002C3333" w:rsidRDefault="002C3333">
            <w:pPr>
              <w:ind w:left="6"/>
            </w:pPr>
            <w:r>
              <w:rPr>
                <w:rFonts w:ascii="Times New Roman" w:eastAsia="Times New Roman" w:hAnsi="Times New Roman" w:cs="Times New Roman"/>
                <w:sz w:val="18"/>
              </w:rPr>
              <w:t xml:space="preserve">Multiple brand names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44F9B1" w14:textId="77777777" w:rsidR="002C3333" w:rsidRDefault="002C3333">
            <w:pPr>
              <w:rPr>
                <w:rFonts w:ascii="Calibri" w:eastAsia="Calibri" w:hAnsi="Calibri" w:cs="Calibri"/>
                <w:color w:val="000000"/>
              </w:rPr>
            </w:pPr>
          </w:p>
        </w:tc>
      </w:tr>
      <w:tr w:rsidR="002C3333" w14:paraId="4D34AF8B" w14:textId="77777777" w:rsidTr="002C3333">
        <w:trPr>
          <w:trHeight w:val="422"/>
        </w:trPr>
        <w:tc>
          <w:tcPr>
            <w:tcW w:w="2250" w:type="dxa"/>
            <w:tcBorders>
              <w:top w:val="single" w:sz="4" w:space="0" w:color="000000"/>
              <w:left w:val="single" w:sz="4" w:space="0" w:color="000000"/>
              <w:bottom w:val="single" w:sz="4" w:space="0" w:color="000000"/>
              <w:right w:val="single" w:sz="4" w:space="0" w:color="000000"/>
            </w:tcBorders>
            <w:hideMark/>
          </w:tcPr>
          <w:p w14:paraId="619095E3" w14:textId="77777777" w:rsidR="002C3333" w:rsidRDefault="002C3333">
            <w:r>
              <w:rPr>
                <w:rFonts w:ascii="Times New Roman" w:eastAsia="Times New Roman" w:hAnsi="Times New Roman" w:cs="Times New Roman"/>
                <w:b/>
                <w:sz w:val="18"/>
              </w:rPr>
              <w:t>Common Forms</w:t>
            </w:r>
            <w:r>
              <w:rPr>
                <w:rFonts w:ascii="Times New Roman" w:eastAsia="Times New Roman" w:hAnsi="Times New Roman" w:cs="Times New Roman"/>
                <w:sz w:val="18"/>
              </w:rPr>
              <w:t xml:space="preserve"> </w:t>
            </w:r>
          </w:p>
        </w:tc>
        <w:tc>
          <w:tcPr>
            <w:tcW w:w="3960" w:type="dxa"/>
            <w:tcBorders>
              <w:top w:val="single" w:sz="4" w:space="0" w:color="000000"/>
              <w:left w:val="single" w:sz="4" w:space="0" w:color="000000"/>
              <w:bottom w:val="single" w:sz="4" w:space="0" w:color="000000"/>
              <w:right w:val="single" w:sz="4" w:space="0" w:color="000000"/>
            </w:tcBorders>
            <w:hideMark/>
          </w:tcPr>
          <w:p w14:paraId="02D30321" w14:textId="77777777" w:rsidR="002C3333" w:rsidRDefault="002C3333">
            <w:pPr>
              <w:ind w:left="6"/>
            </w:pPr>
            <w:r>
              <w:rPr>
                <w:rFonts w:ascii="Times New Roman" w:eastAsia="Times New Roman" w:hAnsi="Times New Roman" w:cs="Times New Roman"/>
                <w:sz w:val="18"/>
              </w:rPr>
              <w:t xml:space="preserve">Cigarettes, cigars, bidis, hookahs, smokeless tobacco (snuff, spit tobacco, chew)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2BBE69" w14:textId="77777777" w:rsidR="002C3333" w:rsidRDefault="002C3333">
            <w:pPr>
              <w:rPr>
                <w:rFonts w:ascii="Calibri" w:eastAsia="Calibri" w:hAnsi="Calibri" w:cs="Calibri"/>
                <w:color w:val="000000"/>
              </w:rPr>
            </w:pPr>
          </w:p>
        </w:tc>
      </w:tr>
      <w:tr w:rsidR="002C3333" w14:paraId="2A5BDCEF" w14:textId="77777777" w:rsidTr="002C3333">
        <w:trPr>
          <w:trHeight w:val="216"/>
        </w:trPr>
        <w:tc>
          <w:tcPr>
            <w:tcW w:w="2250" w:type="dxa"/>
            <w:tcBorders>
              <w:top w:val="single" w:sz="4" w:space="0" w:color="000000"/>
              <w:left w:val="single" w:sz="4" w:space="0" w:color="000000"/>
              <w:bottom w:val="single" w:sz="4" w:space="0" w:color="000000"/>
              <w:right w:val="single" w:sz="4" w:space="0" w:color="000000"/>
            </w:tcBorders>
            <w:hideMark/>
          </w:tcPr>
          <w:p w14:paraId="793F398A" w14:textId="77777777" w:rsidR="002C3333" w:rsidRDefault="002C3333">
            <w:r>
              <w:rPr>
                <w:rFonts w:ascii="Times New Roman" w:eastAsia="Times New Roman" w:hAnsi="Times New Roman" w:cs="Times New Roman"/>
                <w:b/>
                <w:sz w:val="18"/>
              </w:rPr>
              <w:t>Common Ways Taken</w:t>
            </w:r>
            <w:r>
              <w:rPr>
                <w:rFonts w:ascii="Times New Roman" w:eastAsia="Times New Roman" w:hAnsi="Times New Roman" w:cs="Times New Roman"/>
                <w:sz w:val="18"/>
              </w:rPr>
              <w:t xml:space="preserve"> </w:t>
            </w:r>
          </w:p>
        </w:tc>
        <w:tc>
          <w:tcPr>
            <w:tcW w:w="3960" w:type="dxa"/>
            <w:tcBorders>
              <w:top w:val="single" w:sz="4" w:space="0" w:color="000000"/>
              <w:left w:val="single" w:sz="4" w:space="0" w:color="000000"/>
              <w:bottom w:val="single" w:sz="4" w:space="0" w:color="000000"/>
              <w:right w:val="single" w:sz="4" w:space="0" w:color="000000"/>
            </w:tcBorders>
            <w:hideMark/>
          </w:tcPr>
          <w:p w14:paraId="098F5F5E" w14:textId="77777777" w:rsidR="002C3333" w:rsidRDefault="002C3333">
            <w:pPr>
              <w:ind w:left="6"/>
            </w:pPr>
            <w:r>
              <w:rPr>
                <w:rFonts w:ascii="Times New Roman" w:eastAsia="Times New Roman" w:hAnsi="Times New Roman" w:cs="Times New Roman"/>
                <w:sz w:val="18"/>
              </w:rPr>
              <w:t xml:space="preserve">Smoked, snorted, chewed, vaporized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4A52EB" w14:textId="77777777" w:rsidR="002C3333" w:rsidRDefault="002C3333">
            <w:pPr>
              <w:rPr>
                <w:rFonts w:ascii="Calibri" w:eastAsia="Calibri" w:hAnsi="Calibri" w:cs="Calibri"/>
                <w:color w:val="000000"/>
              </w:rPr>
            </w:pPr>
          </w:p>
        </w:tc>
      </w:tr>
      <w:tr w:rsidR="002C3333" w14:paraId="54B85958" w14:textId="77777777" w:rsidTr="002C3333">
        <w:trPr>
          <w:trHeight w:val="792"/>
        </w:trPr>
        <w:tc>
          <w:tcPr>
            <w:tcW w:w="2250" w:type="dxa"/>
            <w:tcBorders>
              <w:top w:val="single" w:sz="4" w:space="0" w:color="000000"/>
              <w:left w:val="single" w:sz="4" w:space="0" w:color="000000"/>
              <w:bottom w:val="single" w:sz="4" w:space="0" w:color="000000"/>
              <w:right w:val="single" w:sz="4" w:space="0" w:color="000000"/>
            </w:tcBorders>
            <w:hideMark/>
          </w:tcPr>
          <w:p w14:paraId="21379551" w14:textId="77777777" w:rsidR="002C3333" w:rsidRDefault="002C3333">
            <w:r>
              <w:rPr>
                <w:rFonts w:ascii="Times New Roman" w:eastAsia="Times New Roman" w:hAnsi="Times New Roman" w:cs="Times New Roman"/>
                <w:b/>
                <w:sz w:val="18"/>
              </w:rPr>
              <w:t>DEA Schedule</w:t>
            </w:r>
            <w:r>
              <w:rPr>
                <w:rFonts w:ascii="Times New Roman" w:eastAsia="Times New Roman" w:hAnsi="Times New Roman" w:cs="Times New Roman"/>
                <w:sz w:val="18"/>
              </w:rPr>
              <w:t xml:space="preserve"> </w:t>
            </w:r>
          </w:p>
        </w:tc>
        <w:tc>
          <w:tcPr>
            <w:tcW w:w="3960" w:type="dxa"/>
            <w:tcBorders>
              <w:top w:val="single" w:sz="4" w:space="0" w:color="000000"/>
              <w:left w:val="single" w:sz="4" w:space="0" w:color="000000"/>
              <w:bottom w:val="single" w:sz="4" w:space="0" w:color="000000"/>
              <w:right w:val="single" w:sz="4" w:space="0" w:color="000000"/>
            </w:tcBorders>
            <w:hideMark/>
          </w:tcPr>
          <w:p w14:paraId="6C680BC1" w14:textId="77777777" w:rsidR="002C3333" w:rsidRDefault="002C3333">
            <w:pPr>
              <w:ind w:left="6"/>
            </w:pPr>
            <w:r>
              <w:rPr>
                <w:rFonts w:ascii="Times New Roman" w:eastAsia="Times New Roman" w:hAnsi="Times New Roman" w:cs="Times New Roman"/>
                <w:sz w:val="18"/>
              </w:rPr>
              <w:t xml:space="preserve">Not Scheduled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97E851" w14:textId="77777777" w:rsidR="002C3333" w:rsidRDefault="002C3333">
            <w:pPr>
              <w:rPr>
                <w:rFonts w:ascii="Calibri" w:eastAsia="Calibri" w:hAnsi="Calibri" w:cs="Calibri"/>
                <w:color w:val="000000"/>
              </w:rPr>
            </w:pPr>
          </w:p>
        </w:tc>
      </w:tr>
    </w:tbl>
    <w:p w14:paraId="085CC2D9" w14:textId="3FF2660D" w:rsidR="006D7E93" w:rsidRDefault="006D7E93" w:rsidP="006D7E93">
      <w:pPr>
        <w:tabs>
          <w:tab w:val="left" w:pos="0"/>
        </w:tabs>
        <w:spacing w:before="240" w:after="360"/>
      </w:pPr>
      <w:r>
        <w:lastRenderedPageBreak/>
        <w:t>In compliance with the Drug-Free Schools and Community Act of 1989, NHSC offers various drug and alcohol use prevention, education, and intervention programs.  These services are made available to students and staff.  Below is a list and brief description of the programs that are offered to students through-out the year.</w:t>
      </w:r>
    </w:p>
    <w:p w14:paraId="34640AF5" w14:textId="30446BB7" w:rsidR="00D67B75" w:rsidRDefault="004A0509" w:rsidP="0006616C">
      <w:pPr>
        <w:tabs>
          <w:tab w:val="left" w:pos="0"/>
        </w:tabs>
        <w:spacing w:before="240" w:after="360"/>
        <w:rPr>
          <w:sz w:val="32"/>
          <w:szCs w:val="32"/>
        </w:rPr>
      </w:pPr>
      <w:r>
        <w:rPr>
          <w:sz w:val="32"/>
          <w:szCs w:val="32"/>
        </w:rPr>
        <w:t>Campus Programs</w:t>
      </w:r>
    </w:p>
    <w:tbl>
      <w:tblPr>
        <w:tblStyle w:val="BusinessPaper"/>
        <w:tblW w:w="0" w:type="auto"/>
        <w:tblLook w:val="04A0" w:firstRow="1" w:lastRow="0" w:firstColumn="1" w:lastColumn="0" w:noHBand="0" w:noVBand="1"/>
      </w:tblPr>
      <w:tblGrid>
        <w:gridCol w:w="2970"/>
        <w:gridCol w:w="7254"/>
      </w:tblGrid>
      <w:tr w:rsidR="00B54E99" w14:paraId="7B685742" w14:textId="77777777" w:rsidTr="00E363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0" w:type="dxa"/>
          </w:tcPr>
          <w:p w14:paraId="1A4DC541" w14:textId="77777777" w:rsidR="00B54E99" w:rsidRPr="00E36353" w:rsidRDefault="007841C9" w:rsidP="005B25CF">
            <w:pPr>
              <w:tabs>
                <w:tab w:val="left" w:pos="0"/>
              </w:tabs>
              <w:spacing w:before="0" w:after="0"/>
              <w:rPr>
                <w:rFonts w:asciiTheme="minorHAnsi" w:hAnsiTheme="minorHAnsi" w:cstheme="minorHAnsi"/>
                <w:b w:val="0"/>
                <w:bCs/>
                <w:color w:val="FFFFFF" w:themeColor="background1"/>
              </w:rPr>
            </w:pPr>
            <w:r w:rsidRPr="00E36353">
              <w:rPr>
                <w:rFonts w:asciiTheme="minorHAnsi" w:hAnsiTheme="minorHAnsi" w:cstheme="minorHAnsi"/>
                <w:b w:val="0"/>
                <w:bCs/>
                <w:color w:val="FFFFFF" w:themeColor="background1"/>
                <w:sz w:val="24"/>
              </w:rPr>
              <w:t>Intervention/Prevention</w:t>
            </w:r>
          </w:p>
          <w:p w14:paraId="4238A8BF" w14:textId="77777777" w:rsidR="007841C9" w:rsidRPr="00E36353" w:rsidRDefault="007841C9" w:rsidP="005B25CF">
            <w:pPr>
              <w:tabs>
                <w:tab w:val="left" w:pos="0"/>
              </w:tabs>
              <w:spacing w:before="0" w:after="0"/>
              <w:rPr>
                <w:rFonts w:asciiTheme="minorHAnsi" w:hAnsiTheme="minorHAnsi" w:cstheme="minorHAnsi"/>
                <w:b w:val="0"/>
                <w:bCs/>
                <w:color w:val="FFFFFF" w:themeColor="background1"/>
              </w:rPr>
            </w:pPr>
            <w:r w:rsidRPr="00E36353">
              <w:rPr>
                <w:rFonts w:asciiTheme="minorHAnsi" w:hAnsiTheme="minorHAnsi" w:cstheme="minorHAnsi"/>
                <w:b w:val="0"/>
                <w:bCs/>
                <w:color w:val="FFFFFF" w:themeColor="background1"/>
                <w:sz w:val="24"/>
              </w:rPr>
              <w:t>St</w:t>
            </w:r>
            <w:r w:rsidR="00374125" w:rsidRPr="00E36353">
              <w:rPr>
                <w:rFonts w:asciiTheme="minorHAnsi" w:hAnsiTheme="minorHAnsi" w:cstheme="minorHAnsi"/>
                <w:b w:val="0"/>
                <w:bCs/>
                <w:color w:val="FFFFFF" w:themeColor="background1"/>
                <w:sz w:val="24"/>
              </w:rPr>
              <w:t>rategy</w:t>
            </w:r>
          </w:p>
          <w:p w14:paraId="1217D678" w14:textId="21151E50" w:rsidR="00374125" w:rsidRPr="007841C9" w:rsidRDefault="00374125" w:rsidP="005B25CF">
            <w:pPr>
              <w:tabs>
                <w:tab w:val="left" w:pos="0"/>
              </w:tabs>
              <w:spacing w:before="0" w:after="0"/>
              <w:rPr>
                <w:b w:val="0"/>
                <w:bCs/>
                <w:color w:val="FFFFFF" w:themeColor="background1"/>
                <w:sz w:val="24"/>
              </w:rPr>
            </w:pPr>
          </w:p>
        </w:tc>
        <w:tc>
          <w:tcPr>
            <w:tcW w:w="7254" w:type="dxa"/>
          </w:tcPr>
          <w:p w14:paraId="378B7084" w14:textId="3147A67E" w:rsidR="00B54E99" w:rsidRPr="00374125" w:rsidRDefault="00374125" w:rsidP="00374125">
            <w:pPr>
              <w:tabs>
                <w:tab w:val="left" w:pos="0"/>
              </w:tabs>
              <w:spacing w:before="240" w:after="360"/>
              <w:jc w:val="center"/>
              <w:cnfStyle w:val="100000000000" w:firstRow="1" w:lastRow="0" w:firstColumn="0" w:lastColumn="0" w:oddVBand="0" w:evenVBand="0" w:oddHBand="0" w:evenHBand="0" w:firstRowFirstColumn="0" w:firstRowLastColumn="0" w:lastRowFirstColumn="0" w:lastRowLastColumn="0"/>
              <w:rPr>
                <w:b w:val="0"/>
                <w:bCs/>
                <w:color w:val="FFFFFF" w:themeColor="background1"/>
                <w:sz w:val="24"/>
              </w:rPr>
            </w:pPr>
            <w:r>
              <w:rPr>
                <w:b w:val="0"/>
                <w:bCs/>
                <w:color w:val="FFFFFF" w:themeColor="background1"/>
                <w:sz w:val="24"/>
              </w:rPr>
              <w:t>Brief Description</w:t>
            </w:r>
          </w:p>
        </w:tc>
      </w:tr>
      <w:tr w:rsidR="00B54E99" w14:paraId="1E342B51" w14:textId="77777777" w:rsidTr="00E36353">
        <w:tc>
          <w:tcPr>
            <w:cnfStyle w:val="001000000000" w:firstRow="0" w:lastRow="0" w:firstColumn="1" w:lastColumn="0" w:oddVBand="0" w:evenVBand="0" w:oddHBand="0" w:evenHBand="0" w:firstRowFirstColumn="0" w:firstRowLastColumn="0" w:lastRowFirstColumn="0" w:lastRowLastColumn="0"/>
            <w:tcW w:w="2970" w:type="dxa"/>
          </w:tcPr>
          <w:p w14:paraId="6CE880FA" w14:textId="0BA48F91" w:rsidR="00B54E99" w:rsidRPr="00E87D6F" w:rsidRDefault="00E87D6F" w:rsidP="00E87D6F">
            <w:pPr>
              <w:tabs>
                <w:tab w:val="left" w:pos="0"/>
              </w:tabs>
              <w:spacing w:after="360"/>
              <w:jc w:val="left"/>
              <w:rPr>
                <w:rFonts w:asciiTheme="minorHAnsi" w:hAnsiTheme="minorHAnsi" w:cstheme="minorHAnsi"/>
                <w:sz w:val="20"/>
                <w:szCs w:val="20"/>
              </w:rPr>
            </w:pPr>
            <w:r w:rsidRPr="00E87D6F">
              <w:rPr>
                <w:rFonts w:asciiTheme="minorHAnsi" w:hAnsiTheme="minorHAnsi" w:cstheme="minorHAnsi"/>
                <w:sz w:val="20"/>
                <w:szCs w:val="20"/>
              </w:rPr>
              <w:t>Alcohol</w:t>
            </w:r>
            <w:r>
              <w:rPr>
                <w:rFonts w:asciiTheme="minorHAnsi" w:hAnsiTheme="minorHAnsi" w:cstheme="minorHAnsi"/>
                <w:sz w:val="20"/>
                <w:szCs w:val="20"/>
              </w:rPr>
              <w:t xml:space="preserve"> and Drug Individual Counseling</w:t>
            </w:r>
          </w:p>
        </w:tc>
        <w:tc>
          <w:tcPr>
            <w:tcW w:w="7254" w:type="dxa"/>
          </w:tcPr>
          <w:p w14:paraId="2EA8D65B" w14:textId="45B9BAEC" w:rsidR="00B54E99" w:rsidRPr="00E06905" w:rsidRDefault="00E06905" w:rsidP="00E36353">
            <w:pPr>
              <w:tabs>
                <w:tab w:val="left" w:pos="0"/>
              </w:tabs>
              <w:spacing w:after="360"/>
              <w:cnfStyle w:val="000000000000" w:firstRow="0" w:lastRow="0" w:firstColumn="0" w:lastColumn="0" w:oddVBand="0" w:evenVBand="0" w:oddHBand="0" w:evenHBand="0" w:firstRowFirstColumn="0" w:firstRowLastColumn="0" w:lastRowFirstColumn="0" w:lastRowLastColumn="0"/>
              <w:rPr>
                <w:rFonts w:cstheme="minorHAnsi"/>
                <w:b w:val="0"/>
                <w:bCs/>
                <w:sz w:val="20"/>
                <w:szCs w:val="20"/>
              </w:rPr>
            </w:pPr>
            <w:r>
              <w:rPr>
                <w:rFonts w:cstheme="minorHAnsi"/>
                <w:b w:val="0"/>
                <w:bCs/>
                <w:sz w:val="20"/>
                <w:szCs w:val="20"/>
              </w:rPr>
              <w:t>One-on-one counseling sessions using brief motivatio</w:t>
            </w:r>
            <w:r w:rsidR="003F0849">
              <w:rPr>
                <w:rFonts w:cstheme="minorHAnsi"/>
                <w:b w:val="0"/>
                <w:bCs/>
                <w:sz w:val="20"/>
                <w:szCs w:val="20"/>
              </w:rPr>
              <w:t>nal and cognitive</w:t>
            </w:r>
            <w:r w:rsidR="001650C7">
              <w:rPr>
                <w:rFonts w:cstheme="minorHAnsi"/>
                <w:b w:val="0"/>
                <w:bCs/>
                <w:sz w:val="20"/>
                <w:szCs w:val="20"/>
              </w:rPr>
              <w:t>-behavioral techniques for use of substances including alcohol, marijuana, prescription drugs, and other illicit substances.  The goal of the counseling</w:t>
            </w:r>
            <w:r w:rsidR="00956C53">
              <w:rPr>
                <w:rFonts w:cstheme="minorHAnsi"/>
                <w:b w:val="0"/>
                <w:bCs/>
                <w:sz w:val="20"/>
                <w:szCs w:val="20"/>
              </w:rPr>
              <w:t xml:space="preserve"> is to educate students about the effects of illicit drug use, to promote self-evaluation of drug-use habits</w:t>
            </w:r>
            <w:r w:rsidR="0071427F">
              <w:rPr>
                <w:rFonts w:cstheme="minorHAnsi"/>
                <w:b w:val="0"/>
                <w:bCs/>
                <w:sz w:val="20"/>
                <w:szCs w:val="20"/>
              </w:rPr>
              <w:t>, and to facilitate the acquisition of effective coping strategies to make informed decisions</w:t>
            </w:r>
            <w:r w:rsidR="00E266A1">
              <w:rPr>
                <w:rFonts w:cstheme="minorHAnsi"/>
                <w:b w:val="0"/>
                <w:bCs/>
                <w:sz w:val="20"/>
                <w:szCs w:val="20"/>
              </w:rPr>
              <w:t xml:space="preserve"> and reduce the risk and harm associated</w:t>
            </w:r>
            <w:r w:rsidR="00F12BA8">
              <w:rPr>
                <w:rFonts w:cstheme="minorHAnsi"/>
                <w:b w:val="0"/>
                <w:bCs/>
                <w:sz w:val="20"/>
                <w:szCs w:val="20"/>
              </w:rPr>
              <w:t xml:space="preserve"> with substance use.</w:t>
            </w:r>
          </w:p>
        </w:tc>
      </w:tr>
    </w:tbl>
    <w:p w14:paraId="77E231EA" w14:textId="05AD1B77" w:rsidR="001867D4" w:rsidRDefault="001867D4" w:rsidP="0006616C">
      <w:pPr>
        <w:tabs>
          <w:tab w:val="left" w:pos="0"/>
        </w:tabs>
        <w:spacing w:before="240" w:after="360"/>
      </w:pPr>
      <w:r>
        <w:t xml:space="preserve">NHSC makes available various drug and alcohol use prevention, education, and intervention services for staff and faculty through NHSC’s Academic staff Assistance Program (ASAP).  ASAP provides support to employees and eligible family members in initiating and accessing the appropriate level of care for substance abuse or dependence.  These ASAP services are provided on a </w:t>
      </w:r>
      <w:r w:rsidR="0078720B">
        <w:t>short-term basis and employees are referred to the community for more intensive levels of care as indicated.  This service is available at no cost to employees and their family members, and information about participation</w:t>
      </w:r>
      <w:r w:rsidR="00C62FB6">
        <w:t xml:space="preserve"> is confidential, except where legally mandated.</w:t>
      </w:r>
    </w:p>
    <w:p w14:paraId="2468254A" w14:textId="254DDF7C" w:rsidR="002D6E25" w:rsidRPr="008C7A3B" w:rsidRDefault="00FE1B54" w:rsidP="008706D7">
      <w:pPr>
        <w:tabs>
          <w:tab w:val="left" w:pos="0"/>
        </w:tabs>
        <w:spacing w:before="240" w:after="360"/>
      </w:pPr>
      <w:r>
        <w:t>Additional resources available to students and employees in the New Town Community</w:t>
      </w:r>
      <w:r w:rsidR="00466BA8">
        <w:t xml:space="preserve"> and online include the following:</w:t>
      </w:r>
    </w:p>
    <w:tbl>
      <w:tblPr>
        <w:tblStyle w:val="BusinessPaper"/>
        <w:tblW w:w="0" w:type="auto"/>
        <w:tblLook w:val="04A0" w:firstRow="1" w:lastRow="0" w:firstColumn="1" w:lastColumn="0" w:noHBand="0" w:noVBand="1"/>
      </w:tblPr>
      <w:tblGrid>
        <w:gridCol w:w="5112"/>
        <w:gridCol w:w="5112"/>
      </w:tblGrid>
      <w:tr w:rsidR="003E38FB" w14:paraId="2B3B7940" w14:textId="77777777" w:rsidTr="009F41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gridSpan w:val="2"/>
          </w:tcPr>
          <w:p w14:paraId="4EFF17A8" w14:textId="17F09CEC" w:rsidR="003E38FB" w:rsidRPr="003E38FB" w:rsidRDefault="008C7A3B" w:rsidP="003E38FB">
            <w:pPr>
              <w:spacing w:before="240" w:after="360"/>
              <w:rPr>
                <w:rFonts w:asciiTheme="minorHAnsi" w:hAnsiTheme="minorHAnsi" w:cstheme="minorHAnsi"/>
                <w:b w:val="0"/>
                <w:bCs/>
                <w:color w:val="FDF9F7" w:themeColor="background2"/>
              </w:rPr>
            </w:pPr>
            <w:r>
              <w:rPr>
                <w:rFonts w:asciiTheme="minorHAnsi" w:hAnsiTheme="minorHAnsi" w:cstheme="minorHAnsi"/>
                <w:b w:val="0"/>
                <w:bCs/>
                <w:color w:val="FDF9F7" w:themeColor="background2"/>
              </w:rPr>
              <w:lastRenderedPageBreak/>
              <w:t>Community Resources</w:t>
            </w:r>
          </w:p>
        </w:tc>
      </w:tr>
      <w:tr w:rsidR="003E38FB" w14:paraId="369B1C38" w14:textId="77777777" w:rsidTr="003E38FB">
        <w:tc>
          <w:tcPr>
            <w:cnfStyle w:val="001000000000" w:firstRow="0" w:lastRow="0" w:firstColumn="1" w:lastColumn="0" w:oddVBand="0" w:evenVBand="0" w:oddHBand="0" w:evenHBand="0" w:firstRowFirstColumn="0" w:firstRowLastColumn="0" w:lastRowFirstColumn="0" w:lastRowLastColumn="0"/>
            <w:tcW w:w="5112" w:type="dxa"/>
          </w:tcPr>
          <w:p w14:paraId="13AA6B3A" w14:textId="77777777" w:rsidR="003E38FB" w:rsidRDefault="007C22A9" w:rsidP="003E38FB">
            <w:pPr>
              <w:spacing w:after="360"/>
              <w:jc w:val="left"/>
              <w:rPr>
                <w:rFonts w:cstheme="minorHAnsi"/>
                <w:b/>
                <w:bCs/>
              </w:rPr>
            </w:pPr>
            <w:r>
              <w:rPr>
                <w:rFonts w:asciiTheme="minorHAnsi" w:hAnsiTheme="minorHAnsi" w:cstheme="minorHAnsi"/>
                <w:bCs/>
              </w:rPr>
              <w:t>Substanc</w:t>
            </w:r>
            <w:r>
              <w:rPr>
                <w:rFonts w:cstheme="minorHAnsi"/>
                <w:bCs/>
              </w:rPr>
              <w:t>e</w:t>
            </w:r>
            <w:r w:rsidR="00090DF2">
              <w:rPr>
                <w:rFonts w:asciiTheme="minorHAnsi" w:hAnsiTheme="minorHAnsi" w:cstheme="minorHAnsi"/>
                <w:bCs/>
              </w:rPr>
              <w:t xml:space="preserve"> Use/Behavioral Heath Circle of Life</w:t>
            </w:r>
          </w:p>
          <w:p w14:paraId="23A75156" w14:textId="0D31A87F" w:rsidR="007C22A9" w:rsidRPr="008B7E38" w:rsidRDefault="007C22A9" w:rsidP="003E38FB">
            <w:pPr>
              <w:spacing w:after="360"/>
              <w:jc w:val="left"/>
              <w:rPr>
                <w:rFonts w:asciiTheme="minorHAnsi" w:hAnsiTheme="minorHAnsi" w:cstheme="minorHAnsi"/>
                <w:bCs/>
              </w:rPr>
            </w:pPr>
            <w:r>
              <w:rPr>
                <w:rFonts w:asciiTheme="minorHAnsi" w:hAnsiTheme="minorHAnsi" w:cstheme="minorHAnsi"/>
                <w:bCs/>
              </w:rPr>
              <w:t>304 7</w:t>
            </w:r>
            <w:r w:rsidRPr="007C22A9">
              <w:rPr>
                <w:rFonts w:asciiTheme="minorHAnsi" w:hAnsiTheme="minorHAnsi" w:cstheme="minorHAnsi"/>
                <w:bCs/>
                <w:vertAlign w:val="superscript"/>
              </w:rPr>
              <w:t>th</w:t>
            </w:r>
            <w:r>
              <w:rPr>
                <w:rFonts w:asciiTheme="minorHAnsi" w:hAnsiTheme="minorHAnsi" w:cstheme="minorHAnsi"/>
                <w:bCs/>
              </w:rPr>
              <w:t xml:space="preserve"> </w:t>
            </w:r>
            <w:r w:rsidR="005D3BDA">
              <w:rPr>
                <w:rFonts w:asciiTheme="minorHAnsi" w:hAnsiTheme="minorHAnsi" w:cstheme="minorHAnsi"/>
                <w:bCs/>
              </w:rPr>
              <w:t>Street N., New Town, ND</w:t>
            </w:r>
          </w:p>
        </w:tc>
        <w:tc>
          <w:tcPr>
            <w:tcW w:w="5112" w:type="dxa"/>
          </w:tcPr>
          <w:p w14:paraId="64E815D9" w14:textId="77BECF08" w:rsidR="003E38FB" w:rsidRPr="003E38FB" w:rsidRDefault="005D3BDA" w:rsidP="003E38FB">
            <w:pPr>
              <w:spacing w:after="36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701</w:t>
            </w:r>
            <w:r w:rsidR="006B2623">
              <w:rPr>
                <w:rFonts w:cstheme="minorHAnsi"/>
                <w:b w:val="0"/>
                <w:bCs/>
              </w:rPr>
              <w:t>-627-4700</w:t>
            </w:r>
          </w:p>
        </w:tc>
      </w:tr>
      <w:tr w:rsidR="003E38FB" w14:paraId="3249F75D" w14:textId="77777777" w:rsidTr="003E38FB">
        <w:tc>
          <w:tcPr>
            <w:cnfStyle w:val="001000000000" w:firstRow="0" w:lastRow="0" w:firstColumn="1" w:lastColumn="0" w:oddVBand="0" w:evenVBand="0" w:oddHBand="0" w:evenHBand="0" w:firstRowFirstColumn="0" w:firstRowLastColumn="0" w:lastRowFirstColumn="0" w:lastRowLastColumn="0"/>
            <w:tcW w:w="5112" w:type="dxa"/>
          </w:tcPr>
          <w:p w14:paraId="413236F7" w14:textId="77777777" w:rsidR="003E38FB" w:rsidRDefault="006B2623" w:rsidP="003E38FB">
            <w:pPr>
              <w:spacing w:after="360"/>
              <w:jc w:val="left"/>
              <w:rPr>
                <w:rFonts w:cstheme="minorHAnsi"/>
                <w:b/>
                <w:bCs/>
              </w:rPr>
            </w:pPr>
            <w:r>
              <w:rPr>
                <w:rFonts w:asciiTheme="minorHAnsi" w:hAnsiTheme="minorHAnsi" w:cstheme="minorHAnsi"/>
                <w:bCs/>
              </w:rPr>
              <w:t>The Door</w:t>
            </w:r>
          </w:p>
          <w:p w14:paraId="779669E1" w14:textId="789AA7FB" w:rsidR="00506611" w:rsidRPr="003E38FB" w:rsidRDefault="00506611" w:rsidP="003E38FB">
            <w:pPr>
              <w:spacing w:after="360"/>
              <w:jc w:val="left"/>
              <w:rPr>
                <w:rFonts w:asciiTheme="minorHAnsi" w:hAnsiTheme="minorHAnsi" w:cstheme="minorHAnsi"/>
                <w:bCs/>
              </w:rPr>
            </w:pPr>
            <w:r>
              <w:rPr>
                <w:rFonts w:asciiTheme="minorHAnsi" w:hAnsiTheme="minorHAnsi" w:cstheme="minorHAnsi"/>
                <w:bCs/>
              </w:rPr>
              <w:t>Main Street, New Town, ND</w:t>
            </w:r>
          </w:p>
        </w:tc>
        <w:tc>
          <w:tcPr>
            <w:tcW w:w="5112" w:type="dxa"/>
          </w:tcPr>
          <w:p w14:paraId="7DF5EC2A" w14:textId="77777777" w:rsidR="007507C3" w:rsidRDefault="007507C3" w:rsidP="007507C3">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p>
          <w:p w14:paraId="6068DF43" w14:textId="21BACFB8" w:rsidR="0026078D" w:rsidRPr="003E38FB" w:rsidRDefault="000504FA" w:rsidP="006B2623">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701-627-4358</w:t>
            </w:r>
          </w:p>
        </w:tc>
      </w:tr>
      <w:tr w:rsidR="003E38FB" w14:paraId="09885B4D" w14:textId="77777777" w:rsidTr="003E38FB">
        <w:tc>
          <w:tcPr>
            <w:cnfStyle w:val="001000000000" w:firstRow="0" w:lastRow="0" w:firstColumn="1" w:lastColumn="0" w:oddVBand="0" w:evenVBand="0" w:oddHBand="0" w:evenHBand="0" w:firstRowFirstColumn="0" w:firstRowLastColumn="0" w:lastRowFirstColumn="0" w:lastRowLastColumn="0"/>
            <w:tcW w:w="5112" w:type="dxa"/>
          </w:tcPr>
          <w:p w14:paraId="5AA38572" w14:textId="3F3B3A0A" w:rsidR="003E38FB" w:rsidRPr="003E38FB" w:rsidRDefault="000504FA" w:rsidP="003E38FB">
            <w:pPr>
              <w:spacing w:after="360"/>
              <w:jc w:val="left"/>
              <w:rPr>
                <w:rFonts w:asciiTheme="minorHAnsi" w:hAnsiTheme="minorHAnsi" w:cstheme="minorHAnsi"/>
                <w:bCs/>
              </w:rPr>
            </w:pPr>
            <w:r>
              <w:rPr>
                <w:rFonts w:asciiTheme="minorHAnsi" w:hAnsiTheme="minorHAnsi" w:cstheme="minorHAnsi"/>
                <w:bCs/>
              </w:rPr>
              <w:t>21</w:t>
            </w:r>
            <w:r w:rsidRPr="000504FA">
              <w:rPr>
                <w:rFonts w:asciiTheme="minorHAnsi" w:hAnsiTheme="minorHAnsi" w:cstheme="minorHAnsi"/>
                <w:bCs/>
                <w:vertAlign w:val="superscript"/>
              </w:rPr>
              <w:t>st</w:t>
            </w:r>
            <w:r>
              <w:rPr>
                <w:rFonts w:asciiTheme="minorHAnsi" w:hAnsiTheme="minorHAnsi" w:cstheme="minorHAnsi"/>
                <w:bCs/>
              </w:rPr>
              <w:t xml:space="preserve"> Century Warriors</w:t>
            </w:r>
          </w:p>
        </w:tc>
        <w:tc>
          <w:tcPr>
            <w:tcW w:w="5112" w:type="dxa"/>
          </w:tcPr>
          <w:p w14:paraId="0792AC0F" w14:textId="77777777" w:rsidR="00A203B8" w:rsidRDefault="00A203B8" w:rsidP="00A203B8">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p>
          <w:p w14:paraId="4E435E60" w14:textId="04E01848" w:rsidR="00A203B8" w:rsidRPr="003E38FB" w:rsidRDefault="00AE0564" w:rsidP="000504FA">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701-421-9365</w:t>
            </w:r>
          </w:p>
        </w:tc>
      </w:tr>
      <w:tr w:rsidR="003E38FB" w14:paraId="3D481D1A" w14:textId="77777777" w:rsidTr="003E38FB">
        <w:tc>
          <w:tcPr>
            <w:cnfStyle w:val="001000000000" w:firstRow="0" w:lastRow="0" w:firstColumn="1" w:lastColumn="0" w:oddVBand="0" w:evenVBand="0" w:oddHBand="0" w:evenHBand="0" w:firstRowFirstColumn="0" w:firstRowLastColumn="0" w:lastRowFirstColumn="0" w:lastRowLastColumn="0"/>
            <w:tcW w:w="5112" w:type="dxa"/>
          </w:tcPr>
          <w:p w14:paraId="4F2344F4" w14:textId="3E3ADCCD" w:rsidR="003E38FB" w:rsidRPr="003E38FB" w:rsidRDefault="00AE0564" w:rsidP="00626403">
            <w:pPr>
              <w:tabs>
                <w:tab w:val="left" w:pos="2936"/>
              </w:tabs>
              <w:spacing w:after="360"/>
              <w:jc w:val="left"/>
              <w:rPr>
                <w:rFonts w:asciiTheme="minorHAnsi" w:hAnsiTheme="minorHAnsi" w:cstheme="minorHAnsi"/>
                <w:bCs/>
              </w:rPr>
            </w:pPr>
            <w:r>
              <w:rPr>
                <w:rFonts w:asciiTheme="minorHAnsi" w:hAnsiTheme="minorHAnsi" w:cstheme="minorHAnsi"/>
                <w:bCs/>
              </w:rPr>
              <w:t>Parshall Resource</w:t>
            </w:r>
            <w:r w:rsidR="001A4645">
              <w:rPr>
                <w:rFonts w:asciiTheme="minorHAnsi" w:hAnsiTheme="minorHAnsi" w:cstheme="minorHAnsi"/>
                <w:bCs/>
              </w:rPr>
              <w:t xml:space="preserve"> Center</w:t>
            </w:r>
          </w:p>
        </w:tc>
        <w:tc>
          <w:tcPr>
            <w:tcW w:w="5112" w:type="dxa"/>
          </w:tcPr>
          <w:p w14:paraId="0878F6BA" w14:textId="77777777" w:rsidR="008C6796" w:rsidRDefault="008C6796" w:rsidP="008C6796">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p>
          <w:p w14:paraId="17193662" w14:textId="66C736F1" w:rsidR="008C6796" w:rsidRPr="003E38FB" w:rsidRDefault="001A4645" w:rsidP="001A4645">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701-</w:t>
            </w:r>
            <w:r w:rsidR="00296862">
              <w:rPr>
                <w:rFonts w:cstheme="minorHAnsi"/>
                <w:b w:val="0"/>
                <w:bCs/>
              </w:rPr>
              <w:t>862-3682</w:t>
            </w:r>
          </w:p>
        </w:tc>
      </w:tr>
      <w:tr w:rsidR="003E38FB" w14:paraId="6E660CD3" w14:textId="77777777" w:rsidTr="003E38FB">
        <w:tc>
          <w:tcPr>
            <w:cnfStyle w:val="001000000000" w:firstRow="0" w:lastRow="0" w:firstColumn="1" w:lastColumn="0" w:oddVBand="0" w:evenVBand="0" w:oddHBand="0" w:evenHBand="0" w:firstRowFirstColumn="0" w:firstRowLastColumn="0" w:lastRowFirstColumn="0" w:lastRowLastColumn="0"/>
            <w:tcW w:w="5112" w:type="dxa"/>
          </w:tcPr>
          <w:p w14:paraId="1D0481E4" w14:textId="77777777" w:rsidR="003E38FB" w:rsidRDefault="001A4645" w:rsidP="003E38FB">
            <w:pPr>
              <w:spacing w:after="360"/>
              <w:jc w:val="left"/>
              <w:rPr>
                <w:rFonts w:cstheme="minorHAnsi"/>
                <w:b/>
                <w:bCs/>
              </w:rPr>
            </w:pPr>
            <w:r>
              <w:rPr>
                <w:rFonts w:asciiTheme="minorHAnsi" w:hAnsiTheme="minorHAnsi" w:cstheme="minorHAnsi"/>
                <w:bCs/>
              </w:rPr>
              <w:t>Good Road Recovery Center</w:t>
            </w:r>
          </w:p>
          <w:p w14:paraId="12913D93" w14:textId="7B4822BD" w:rsidR="001A4645" w:rsidRPr="003E38FB" w:rsidRDefault="00571C8F" w:rsidP="003E38FB">
            <w:pPr>
              <w:spacing w:after="360"/>
              <w:jc w:val="left"/>
              <w:rPr>
                <w:rFonts w:asciiTheme="minorHAnsi" w:hAnsiTheme="minorHAnsi" w:cstheme="minorHAnsi"/>
                <w:bCs/>
              </w:rPr>
            </w:pPr>
            <w:r>
              <w:rPr>
                <w:rFonts w:asciiTheme="minorHAnsi" w:hAnsiTheme="minorHAnsi" w:cstheme="minorHAnsi"/>
                <w:bCs/>
              </w:rPr>
              <w:t>1304 Elbowoods Ln.</w:t>
            </w:r>
            <w:r w:rsidR="00C0616C">
              <w:rPr>
                <w:rFonts w:asciiTheme="minorHAnsi" w:hAnsiTheme="minorHAnsi" w:cstheme="minorHAnsi"/>
                <w:bCs/>
              </w:rPr>
              <w:t>, Bismarck, ND</w:t>
            </w:r>
          </w:p>
        </w:tc>
        <w:tc>
          <w:tcPr>
            <w:tcW w:w="5112" w:type="dxa"/>
          </w:tcPr>
          <w:p w14:paraId="3A476DD0" w14:textId="77777777" w:rsidR="008C6796" w:rsidRDefault="008C6796" w:rsidP="008C6796">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p>
          <w:p w14:paraId="68F3DCAF" w14:textId="3AF2B4F7" w:rsidR="008C6796" w:rsidRPr="003E38FB" w:rsidRDefault="005864C9" w:rsidP="005864C9">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701-751-0278</w:t>
            </w:r>
            <w:r w:rsidR="00296862">
              <w:rPr>
                <w:rFonts w:cstheme="minorHAnsi"/>
                <w:b w:val="0"/>
                <w:bCs/>
              </w:rPr>
              <w:t xml:space="preserve"> </w:t>
            </w:r>
          </w:p>
        </w:tc>
      </w:tr>
      <w:tr w:rsidR="001525FE" w14:paraId="4646F187" w14:textId="77777777" w:rsidTr="003E38FB">
        <w:tc>
          <w:tcPr>
            <w:cnfStyle w:val="001000000000" w:firstRow="0" w:lastRow="0" w:firstColumn="1" w:lastColumn="0" w:oddVBand="0" w:evenVBand="0" w:oddHBand="0" w:evenHBand="0" w:firstRowFirstColumn="0" w:firstRowLastColumn="0" w:lastRowFirstColumn="0" w:lastRowLastColumn="0"/>
            <w:tcW w:w="5112" w:type="dxa"/>
          </w:tcPr>
          <w:p w14:paraId="63348B87" w14:textId="5E5CC6E4" w:rsidR="001525FE" w:rsidRPr="001923B5" w:rsidRDefault="0027498A" w:rsidP="00CA1CB0">
            <w:pPr>
              <w:spacing w:after="360"/>
              <w:jc w:val="left"/>
              <w:rPr>
                <w:rFonts w:ascii="Arial" w:hAnsi="Arial" w:cs="Arial"/>
                <w:bCs/>
              </w:rPr>
            </w:pPr>
            <w:r w:rsidRPr="001923B5">
              <w:rPr>
                <w:rFonts w:ascii="Arial" w:hAnsi="Arial" w:cs="Arial"/>
                <w:bCs/>
              </w:rPr>
              <w:t xml:space="preserve">Recovery Talk </w:t>
            </w:r>
            <w:r w:rsidR="007B7FD1" w:rsidRPr="001923B5">
              <w:rPr>
                <w:rFonts w:ascii="Arial" w:hAnsi="Arial" w:cs="Arial"/>
                <w:bCs/>
              </w:rPr>
              <w:t>–</w:t>
            </w:r>
            <w:r w:rsidRPr="001923B5">
              <w:rPr>
                <w:rFonts w:ascii="Arial" w:hAnsi="Arial" w:cs="Arial"/>
                <w:bCs/>
              </w:rPr>
              <w:t xml:space="preserve"> </w:t>
            </w:r>
            <w:r w:rsidR="007B7FD1" w:rsidRPr="001923B5">
              <w:rPr>
                <w:rFonts w:ascii="Arial" w:hAnsi="Arial" w:cs="Arial"/>
                <w:bCs/>
              </w:rPr>
              <w:t>Talk to a trained peer support specialist in North Dakota with lived experience in addition</w:t>
            </w:r>
            <w:r w:rsidR="00A32527" w:rsidRPr="001923B5">
              <w:rPr>
                <w:rFonts w:ascii="Arial" w:hAnsi="Arial" w:cs="Arial"/>
                <w:bCs/>
              </w:rPr>
              <w:t xml:space="preserve"> to chat and receive support.</w:t>
            </w:r>
          </w:p>
        </w:tc>
        <w:tc>
          <w:tcPr>
            <w:tcW w:w="5112" w:type="dxa"/>
          </w:tcPr>
          <w:p w14:paraId="6B966D9C" w14:textId="77777777" w:rsidR="001525FE" w:rsidRPr="001923B5" w:rsidRDefault="001525FE" w:rsidP="008C6796">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rPr>
            </w:pPr>
          </w:p>
          <w:p w14:paraId="71D9A975" w14:textId="36867775" w:rsidR="00C3713F" w:rsidRPr="001923B5" w:rsidRDefault="00C3713F" w:rsidP="008C6796">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rPr>
            </w:pPr>
            <w:r w:rsidRPr="001923B5">
              <w:rPr>
                <w:rFonts w:ascii="Arial" w:hAnsi="Arial" w:cs="Arial"/>
                <w:b w:val="0"/>
                <w:bCs/>
              </w:rPr>
              <w:t>1-844-44TALK</w:t>
            </w:r>
            <w:r w:rsidR="0034604A" w:rsidRPr="001923B5">
              <w:rPr>
                <w:rFonts w:ascii="Arial" w:hAnsi="Arial" w:cs="Arial"/>
                <w:b w:val="0"/>
                <w:bCs/>
              </w:rPr>
              <w:t>2</w:t>
            </w:r>
          </w:p>
        </w:tc>
      </w:tr>
      <w:tr w:rsidR="0034604A" w14:paraId="51014E33" w14:textId="77777777" w:rsidTr="003E38FB">
        <w:tc>
          <w:tcPr>
            <w:cnfStyle w:val="001000000000" w:firstRow="0" w:lastRow="0" w:firstColumn="1" w:lastColumn="0" w:oddVBand="0" w:evenVBand="0" w:oddHBand="0" w:evenHBand="0" w:firstRowFirstColumn="0" w:firstRowLastColumn="0" w:lastRowFirstColumn="0" w:lastRowLastColumn="0"/>
            <w:tcW w:w="5112" w:type="dxa"/>
          </w:tcPr>
          <w:p w14:paraId="7EF928B1" w14:textId="73C603B6" w:rsidR="0034604A" w:rsidRPr="001923B5" w:rsidRDefault="000F2D1A" w:rsidP="00893CF3">
            <w:pPr>
              <w:spacing w:after="360"/>
              <w:jc w:val="left"/>
              <w:rPr>
                <w:rFonts w:ascii="Arial" w:hAnsi="Arial" w:cs="Arial"/>
                <w:bCs/>
              </w:rPr>
            </w:pPr>
            <w:r w:rsidRPr="001923B5">
              <w:rPr>
                <w:rFonts w:ascii="Arial" w:hAnsi="Arial" w:cs="Arial"/>
                <w:bCs/>
              </w:rPr>
              <w:t>US Department of Veterans Affairs Mental Health</w:t>
            </w:r>
          </w:p>
        </w:tc>
        <w:tc>
          <w:tcPr>
            <w:tcW w:w="5112" w:type="dxa"/>
          </w:tcPr>
          <w:p w14:paraId="30F6C2F0" w14:textId="77777777" w:rsidR="0034604A" w:rsidRPr="001923B5" w:rsidRDefault="0034604A" w:rsidP="008C6796">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rPr>
            </w:pPr>
          </w:p>
          <w:p w14:paraId="521754F6" w14:textId="77777777" w:rsidR="00326F5A" w:rsidRPr="001923B5" w:rsidRDefault="00326F5A" w:rsidP="008C6796">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rPr>
            </w:pPr>
            <w:r w:rsidRPr="001923B5">
              <w:rPr>
                <w:rFonts w:ascii="Arial" w:hAnsi="Arial" w:cs="Arial"/>
                <w:b w:val="0"/>
                <w:bCs/>
              </w:rPr>
              <w:t>1-800-273-8233</w:t>
            </w:r>
          </w:p>
          <w:p w14:paraId="01E7B117" w14:textId="551784A2" w:rsidR="00326F5A" w:rsidRPr="001923B5" w:rsidRDefault="005448C7" w:rsidP="008C6796">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rPr>
            </w:pPr>
            <w:hyperlink r:id="rId43" w:history="1">
              <w:r w:rsidRPr="001923B5">
                <w:rPr>
                  <w:rStyle w:val="Hyperlink"/>
                  <w:rFonts w:ascii="Arial" w:hAnsi="Arial" w:cs="Arial"/>
                  <w:bCs/>
                </w:rPr>
                <w:t>www.mentalhealth.va.gov</w:t>
              </w:r>
            </w:hyperlink>
          </w:p>
          <w:p w14:paraId="1BCE806B" w14:textId="77777777" w:rsidR="005448C7" w:rsidRPr="001923B5" w:rsidRDefault="005448C7" w:rsidP="008C6796">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rPr>
            </w:pPr>
            <w:r w:rsidRPr="001923B5">
              <w:rPr>
                <w:rFonts w:ascii="Arial" w:hAnsi="Arial" w:cs="Arial"/>
                <w:b w:val="0"/>
                <w:bCs/>
              </w:rPr>
              <w:t>Text Option: 8</w:t>
            </w:r>
            <w:r w:rsidR="008365F9" w:rsidRPr="001923B5">
              <w:rPr>
                <w:rFonts w:ascii="Arial" w:hAnsi="Arial" w:cs="Arial"/>
                <w:b w:val="0"/>
                <w:bCs/>
              </w:rPr>
              <w:t>38255</w:t>
            </w:r>
          </w:p>
          <w:p w14:paraId="379B0450" w14:textId="1CCC9BAE" w:rsidR="008365F9" w:rsidRPr="001923B5" w:rsidRDefault="008365F9" w:rsidP="008C6796">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rPr>
            </w:pPr>
            <w:r w:rsidRPr="001923B5">
              <w:rPr>
                <w:rFonts w:ascii="Arial" w:hAnsi="Arial" w:cs="Arial"/>
                <w:b w:val="0"/>
                <w:bCs/>
              </w:rPr>
              <w:t>Online chat:  VeteransCrisis</w:t>
            </w:r>
            <w:r w:rsidR="00915E85" w:rsidRPr="001923B5">
              <w:rPr>
                <w:rFonts w:ascii="Arial" w:hAnsi="Arial" w:cs="Arial"/>
                <w:b w:val="0"/>
                <w:bCs/>
              </w:rPr>
              <w:t>Line.net/Chat</w:t>
            </w:r>
          </w:p>
        </w:tc>
      </w:tr>
      <w:tr w:rsidR="0034604A" w14:paraId="386DA870" w14:textId="77777777" w:rsidTr="003E38FB">
        <w:tc>
          <w:tcPr>
            <w:cnfStyle w:val="001000000000" w:firstRow="0" w:lastRow="0" w:firstColumn="1" w:lastColumn="0" w:oddVBand="0" w:evenVBand="0" w:oddHBand="0" w:evenHBand="0" w:firstRowFirstColumn="0" w:firstRowLastColumn="0" w:lastRowFirstColumn="0" w:lastRowLastColumn="0"/>
            <w:tcW w:w="5112" w:type="dxa"/>
          </w:tcPr>
          <w:p w14:paraId="522DB8ED" w14:textId="1A391AE4" w:rsidR="0034604A" w:rsidRPr="001923B5" w:rsidRDefault="00915E85" w:rsidP="00915E85">
            <w:pPr>
              <w:spacing w:after="360"/>
              <w:jc w:val="left"/>
              <w:rPr>
                <w:rFonts w:ascii="Arial" w:hAnsi="Arial" w:cs="Arial"/>
                <w:bCs/>
              </w:rPr>
            </w:pPr>
            <w:r w:rsidRPr="001923B5">
              <w:rPr>
                <w:rFonts w:ascii="Arial" w:hAnsi="Arial" w:cs="Arial"/>
                <w:bCs/>
              </w:rPr>
              <w:t>Suicide Prevention Lifeline</w:t>
            </w:r>
          </w:p>
        </w:tc>
        <w:tc>
          <w:tcPr>
            <w:tcW w:w="5112" w:type="dxa"/>
          </w:tcPr>
          <w:p w14:paraId="61361629" w14:textId="77777777" w:rsidR="0034604A" w:rsidRPr="001923B5" w:rsidRDefault="0034604A" w:rsidP="008C6796">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rPr>
            </w:pPr>
          </w:p>
          <w:p w14:paraId="3440167A" w14:textId="77777777" w:rsidR="00D416CB" w:rsidRPr="001923B5" w:rsidRDefault="00D416CB" w:rsidP="008C6796">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rPr>
            </w:pPr>
            <w:r w:rsidRPr="001923B5">
              <w:rPr>
                <w:rFonts w:ascii="Arial" w:hAnsi="Arial" w:cs="Arial"/>
                <w:b w:val="0"/>
                <w:bCs/>
              </w:rPr>
              <w:t>1-800-273-TALK (8255)</w:t>
            </w:r>
          </w:p>
          <w:p w14:paraId="1F4FF1A2" w14:textId="2BEB9E09" w:rsidR="008A18A6" w:rsidRPr="001923B5" w:rsidRDefault="006630A1" w:rsidP="008C6796">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rPr>
            </w:pPr>
            <w:hyperlink r:id="rId44" w:history="1">
              <w:r w:rsidRPr="001923B5">
                <w:rPr>
                  <w:rStyle w:val="Hyperlink"/>
                  <w:rFonts w:ascii="Arial" w:hAnsi="Arial" w:cs="Arial"/>
                  <w:bCs/>
                </w:rPr>
                <w:t>www.suicidepreventionlifeline.org</w:t>
              </w:r>
            </w:hyperlink>
          </w:p>
          <w:p w14:paraId="3F1C36C3" w14:textId="5EC74FDE" w:rsidR="006630A1" w:rsidRPr="001923B5" w:rsidRDefault="006630A1" w:rsidP="008C6796">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val="0"/>
                <w:bCs/>
              </w:rPr>
            </w:pPr>
          </w:p>
        </w:tc>
      </w:tr>
      <w:tr w:rsidR="0034604A" w14:paraId="502570BE" w14:textId="77777777" w:rsidTr="003E38FB">
        <w:tc>
          <w:tcPr>
            <w:cnfStyle w:val="001000000000" w:firstRow="0" w:lastRow="0" w:firstColumn="1" w:lastColumn="0" w:oddVBand="0" w:evenVBand="0" w:oddHBand="0" w:evenHBand="0" w:firstRowFirstColumn="0" w:firstRowLastColumn="0" w:lastRowFirstColumn="0" w:lastRowLastColumn="0"/>
            <w:tcW w:w="5112" w:type="dxa"/>
          </w:tcPr>
          <w:p w14:paraId="64379A57" w14:textId="77777777" w:rsidR="0034604A" w:rsidRPr="001923B5" w:rsidRDefault="00351FF7" w:rsidP="006630A1">
            <w:pPr>
              <w:spacing w:after="360"/>
              <w:jc w:val="both"/>
              <w:rPr>
                <w:rFonts w:asciiTheme="minorHAnsi" w:hAnsiTheme="minorHAnsi" w:cstheme="minorHAnsi"/>
                <w:b/>
                <w:bCs/>
              </w:rPr>
            </w:pPr>
            <w:r w:rsidRPr="001923B5">
              <w:rPr>
                <w:rFonts w:asciiTheme="minorHAnsi" w:hAnsiTheme="minorHAnsi" w:cstheme="minorHAnsi"/>
                <w:bCs/>
              </w:rPr>
              <w:lastRenderedPageBreak/>
              <w:t>Disaster Distress Helpline</w:t>
            </w:r>
          </w:p>
          <w:p w14:paraId="0F3AF309" w14:textId="401EAFB7" w:rsidR="00D4693F" w:rsidRPr="001923B5" w:rsidRDefault="00D4693F" w:rsidP="006630A1">
            <w:pPr>
              <w:spacing w:after="360"/>
              <w:jc w:val="both"/>
              <w:rPr>
                <w:rFonts w:asciiTheme="minorHAnsi" w:hAnsiTheme="minorHAnsi" w:cstheme="minorHAnsi"/>
                <w:bCs/>
              </w:rPr>
            </w:pPr>
            <w:r w:rsidRPr="001923B5">
              <w:rPr>
                <w:rFonts w:asciiTheme="minorHAnsi" w:hAnsiTheme="minorHAnsi" w:cstheme="minorHAnsi"/>
                <w:bCs/>
              </w:rPr>
              <w:t>National Hotline de</w:t>
            </w:r>
            <w:r w:rsidR="00354D9D" w:rsidRPr="001923B5">
              <w:rPr>
                <w:rFonts w:asciiTheme="minorHAnsi" w:hAnsiTheme="minorHAnsi" w:cstheme="minorHAnsi"/>
                <w:bCs/>
              </w:rPr>
              <w:t xml:space="preserve">dicated to providing </w:t>
            </w:r>
            <w:r w:rsidR="00C52DA7" w:rsidRPr="001923B5">
              <w:rPr>
                <w:rFonts w:asciiTheme="minorHAnsi" w:hAnsiTheme="minorHAnsi" w:cstheme="minorHAnsi"/>
                <w:bCs/>
              </w:rPr>
              <w:t>immediate</w:t>
            </w:r>
            <w:r w:rsidR="00354D9D" w:rsidRPr="001923B5">
              <w:rPr>
                <w:rFonts w:asciiTheme="minorHAnsi" w:hAnsiTheme="minorHAnsi" w:cstheme="minorHAnsi"/>
                <w:bCs/>
              </w:rPr>
              <w:t xml:space="preserve"> crisis counseling for people who are experiencing emotional distress to any natural or human</w:t>
            </w:r>
            <w:r w:rsidR="00C52DA7" w:rsidRPr="001923B5">
              <w:rPr>
                <w:rFonts w:asciiTheme="minorHAnsi" w:hAnsiTheme="minorHAnsi" w:cstheme="minorHAnsi"/>
                <w:bCs/>
              </w:rPr>
              <w:t>-caused disaster.</w:t>
            </w:r>
          </w:p>
        </w:tc>
        <w:tc>
          <w:tcPr>
            <w:tcW w:w="5112" w:type="dxa"/>
          </w:tcPr>
          <w:p w14:paraId="3DFB786B" w14:textId="77777777" w:rsidR="0034604A" w:rsidRPr="001923B5" w:rsidRDefault="0034604A" w:rsidP="008C6796">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p>
          <w:p w14:paraId="1CE8155C" w14:textId="77777777" w:rsidR="00351FF7" w:rsidRPr="001923B5" w:rsidRDefault="00351FF7" w:rsidP="008C6796">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sidRPr="001923B5">
              <w:rPr>
                <w:rFonts w:cstheme="minorHAnsi"/>
                <w:b w:val="0"/>
                <w:bCs/>
              </w:rPr>
              <w:t>1-800</w:t>
            </w:r>
            <w:r w:rsidR="002F1379" w:rsidRPr="001923B5">
              <w:rPr>
                <w:rFonts w:cstheme="minorHAnsi"/>
                <w:b w:val="0"/>
                <w:bCs/>
              </w:rPr>
              <w:t>-985-5990</w:t>
            </w:r>
          </w:p>
          <w:p w14:paraId="638A6A86" w14:textId="10506D03" w:rsidR="002F1379" w:rsidRPr="001923B5" w:rsidRDefault="002F1379" w:rsidP="008C6796">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sidRPr="001923B5">
              <w:rPr>
                <w:rFonts w:cstheme="minorHAnsi"/>
                <w:b w:val="0"/>
                <w:bCs/>
              </w:rPr>
              <w:t>Te</w:t>
            </w:r>
            <w:r w:rsidR="00AC71DA" w:rsidRPr="001923B5">
              <w:rPr>
                <w:rFonts w:cstheme="minorHAnsi"/>
                <w:b w:val="0"/>
                <w:bCs/>
              </w:rPr>
              <w:t>xt “TALKWITHUS”</w:t>
            </w:r>
            <w:r w:rsidR="00D4693F" w:rsidRPr="001923B5">
              <w:rPr>
                <w:rFonts w:cstheme="minorHAnsi"/>
                <w:b w:val="0"/>
                <w:bCs/>
              </w:rPr>
              <w:t xml:space="preserve"> 66746</w:t>
            </w:r>
          </w:p>
        </w:tc>
      </w:tr>
      <w:tr w:rsidR="0034604A" w14:paraId="273F94DB" w14:textId="77777777" w:rsidTr="003E38FB">
        <w:tc>
          <w:tcPr>
            <w:cnfStyle w:val="001000000000" w:firstRow="0" w:lastRow="0" w:firstColumn="1" w:lastColumn="0" w:oddVBand="0" w:evenVBand="0" w:oddHBand="0" w:evenHBand="0" w:firstRowFirstColumn="0" w:firstRowLastColumn="0" w:lastRowFirstColumn="0" w:lastRowLastColumn="0"/>
            <w:tcW w:w="5112" w:type="dxa"/>
          </w:tcPr>
          <w:p w14:paraId="55D6A909" w14:textId="77777777" w:rsidR="0034604A" w:rsidRPr="001923B5" w:rsidRDefault="00C52DA7" w:rsidP="00C52DA7">
            <w:pPr>
              <w:spacing w:after="360"/>
              <w:jc w:val="left"/>
              <w:rPr>
                <w:rFonts w:asciiTheme="minorHAnsi" w:hAnsiTheme="minorHAnsi" w:cstheme="minorHAnsi"/>
                <w:b/>
                <w:bCs/>
              </w:rPr>
            </w:pPr>
            <w:r w:rsidRPr="001923B5">
              <w:rPr>
                <w:rFonts w:asciiTheme="minorHAnsi" w:hAnsiTheme="minorHAnsi" w:cstheme="minorHAnsi"/>
                <w:bCs/>
              </w:rPr>
              <w:t>FirstLink 211</w:t>
            </w:r>
          </w:p>
          <w:p w14:paraId="2A5446CF" w14:textId="4F6AAADE" w:rsidR="00FB0EAA" w:rsidRPr="001923B5" w:rsidRDefault="00FB0EAA" w:rsidP="00C52DA7">
            <w:pPr>
              <w:spacing w:after="360"/>
              <w:jc w:val="left"/>
              <w:rPr>
                <w:rFonts w:asciiTheme="minorHAnsi" w:hAnsiTheme="minorHAnsi" w:cstheme="minorHAnsi"/>
                <w:bCs/>
              </w:rPr>
            </w:pPr>
            <w:r w:rsidRPr="001923B5">
              <w:rPr>
                <w:rFonts w:asciiTheme="minorHAnsi" w:hAnsiTheme="minorHAnsi" w:cstheme="minorHAnsi"/>
                <w:bCs/>
              </w:rPr>
              <w:t>Assist with food assistance programs</w:t>
            </w:r>
            <w:r w:rsidR="00B50676" w:rsidRPr="001923B5">
              <w:rPr>
                <w:rFonts w:asciiTheme="minorHAnsi" w:hAnsiTheme="minorHAnsi" w:cstheme="minorHAnsi"/>
                <w:bCs/>
              </w:rPr>
              <w:t>, a listening ear or other resources.</w:t>
            </w:r>
          </w:p>
        </w:tc>
        <w:tc>
          <w:tcPr>
            <w:tcW w:w="5112" w:type="dxa"/>
          </w:tcPr>
          <w:p w14:paraId="1A6F50D9" w14:textId="77777777" w:rsidR="0034604A" w:rsidRPr="001923B5" w:rsidRDefault="0034604A" w:rsidP="008C6796">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p>
          <w:p w14:paraId="451CDB7E" w14:textId="77777777" w:rsidR="00237F99" w:rsidRPr="001923B5" w:rsidRDefault="00237F99" w:rsidP="008C6796">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sidRPr="001923B5">
              <w:rPr>
                <w:rFonts w:cstheme="minorHAnsi"/>
                <w:b w:val="0"/>
                <w:bCs/>
              </w:rPr>
              <w:t xml:space="preserve">Call 211 or </w:t>
            </w:r>
            <w:r w:rsidR="00FB0EAA" w:rsidRPr="001923B5">
              <w:rPr>
                <w:rFonts w:cstheme="minorHAnsi"/>
                <w:b w:val="0"/>
                <w:bCs/>
              </w:rPr>
              <w:t>701-235-7335</w:t>
            </w:r>
          </w:p>
          <w:p w14:paraId="424D55D1" w14:textId="7B14899B" w:rsidR="00B50676" w:rsidRPr="001923B5" w:rsidRDefault="00F13772" w:rsidP="008C6796">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hyperlink r:id="rId45" w:history="1">
              <w:r w:rsidRPr="001923B5">
                <w:rPr>
                  <w:rStyle w:val="Hyperlink"/>
                  <w:rFonts w:cstheme="minorHAnsi"/>
                  <w:bCs/>
                </w:rPr>
                <w:t>www.myfirstlink.org</w:t>
              </w:r>
            </w:hyperlink>
          </w:p>
          <w:p w14:paraId="7E2D3462" w14:textId="67C9C311" w:rsidR="00F13772" w:rsidRPr="001923B5" w:rsidRDefault="00F13772" w:rsidP="008C6796">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p>
        </w:tc>
      </w:tr>
      <w:tr w:rsidR="00F13772" w14:paraId="310424B8" w14:textId="77777777" w:rsidTr="003E38FB">
        <w:tc>
          <w:tcPr>
            <w:cnfStyle w:val="001000000000" w:firstRow="0" w:lastRow="0" w:firstColumn="1" w:lastColumn="0" w:oddVBand="0" w:evenVBand="0" w:oddHBand="0" w:evenHBand="0" w:firstRowFirstColumn="0" w:firstRowLastColumn="0" w:lastRowFirstColumn="0" w:lastRowLastColumn="0"/>
            <w:tcW w:w="5112" w:type="dxa"/>
          </w:tcPr>
          <w:p w14:paraId="07E7EC79" w14:textId="77777777" w:rsidR="00F13772" w:rsidRPr="001923B5" w:rsidRDefault="00F13772" w:rsidP="00F13772">
            <w:pPr>
              <w:spacing w:after="360"/>
              <w:jc w:val="left"/>
              <w:rPr>
                <w:rFonts w:asciiTheme="minorHAnsi" w:hAnsiTheme="minorHAnsi" w:cstheme="minorHAnsi"/>
                <w:b/>
                <w:bCs/>
              </w:rPr>
            </w:pPr>
            <w:r w:rsidRPr="001923B5">
              <w:rPr>
                <w:rFonts w:asciiTheme="minorHAnsi" w:hAnsiTheme="minorHAnsi" w:cstheme="minorHAnsi"/>
                <w:bCs/>
              </w:rPr>
              <w:t>The Village Family</w:t>
            </w:r>
            <w:r w:rsidR="00F93255" w:rsidRPr="001923B5">
              <w:rPr>
                <w:rFonts w:asciiTheme="minorHAnsi" w:hAnsiTheme="minorHAnsi" w:cstheme="minorHAnsi"/>
                <w:bCs/>
              </w:rPr>
              <w:t xml:space="preserve"> Service Center</w:t>
            </w:r>
          </w:p>
          <w:p w14:paraId="794CFE37" w14:textId="1E8EBE51" w:rsidR="00F93255" w:rsidRPr="001923B5" w:rsidRDefault="00F93255" w:rsidP="00F13772">
            <w:pPr>
              <w:spacing w:after="360"/>
              <w:jc w:val="left"/>
              <w:rPr>
                <w:rFonts w:asciiTheme="minorHAnsi" w:hAnsiTheme="minorHAnsi" w:cstheme="minorHAnsi"/>
                <w:bCs/>
              </w:rPr>
            </w:pPr>
            <w:r w:rsidRPr="001923B5">
              <w:rPr>
                <w:rFonts w:asciiTheme="minorHAnsi" w:hAnsiTheme="minorHAnsi" w:cstheme="minorHAnsi"/>
                <w:bCs/>
              </w:rPr>
              <w:t>Alcohol</w:t>
            </w:r>
            <w:r w:rsidR="00572949" w:rsidRPr="001923B5">
              <w:rPr>
                <w:rFonts w:asciiTheme="minorHAnsi" w:hAnsiTheme="minorHAnsi" w:cstheme="minorHAnsi"/>
                <w:bCs/>
              </w:rPr>
              <w:t xml:space="preserve"> and Drug </w:t>
            </w:r>
            <w:r w:rsidR="0030770C" w:rsidRPr="001923B5">
              <w:rPr>
                <w:rFonts w:asciiTheme="minorHAnsi" w:hAnsiTheme="minorHAnsi" w:cstheme="minorHAnsi"/>
                <w:bCs/>
              </w:rPr>
              <w:t>Addiction</w:t>
            </w:r>
            <w:r w:rsidR="00572949" w:rsidRPr="001923B5">
              <w:rPr>
                <w:rFonts w:asciiTheme="minorHAnsi" w:hAnsiTheme="minorHAnsi" w:cstheme="minorHAnsi"/>
                <w:bCs/>
              </w:rPr>
              <w:t>, Counseling Services, In-home Family Therapy, Pregnancy Counseling, Debt and Money Management, Adoption Services, Family Engagement Services</w:t>
            </w:r>
            <w:r w:rsidR="0030770C" w:rsidRPr="001923B5">
              <w:rPr>
                <w:rFonts w:asciiTheme="minorHAnsi" w:hAnsiTheme="minorHAnsi" w:cstheme="minorHAnsi"/>
                <w:bCs/>
              </w:rPr>
              <w:t xml:space="preserve"> – Minot, ND</w:t>
            </w:r>
          </w:p>
        </w:tc>
        <w:tc>
          <w:tcPr>
            <w:tcW w:w="5112" w:type="dxa"/>
          </w:tcPr>
          <w:p w14:paraId="49E16715" w14:textId="77777777" w:rsidR="00F13772" w:rsidRPr="001923B5" w:rsidRDefault="00F13772" w:rsidP="008C6796">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p>
          <w:p w14:paraId="19C18B27" w14:textId="37914D29" w:rsidR="0030770C" w:rsidRPr="001923B5" w:rsidRDefault="0030770C" w:rsidP="008C6796">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sidRPr="001923B5">
              <w:rPr>
                <w:rFonts w:cstheme="minorHAnsi"/>
                <w:b w:val="0"/>
                <w:bCs/>
              </w:rPr>
              <w:t>1-855</w:t>
            </w:r>
            <w:r w:rsidR="009327BF" w:rsidRPr="001923B5">
              <w:rPr>
                <w:rFonts w:cstheme="minorHAnsi"/>
                <w:b w:val="0"/>
                <w:bCs/>
              </w:rPr>
              <w:t>-267-0256</w:t>
            </w:r>
          </w:p>
        </w:tc>
      </w:tr>
    </w:tbl>
    <w:p w14:paraId="6FD9BA4D" w14:textId="77777777" w:rsidR="0003024B" w:rsidRDefault="0003024B" w:rsidP="0003024B">
      <w:pPr>
        <w:spacing w:after="120" w:line="240" w:lineRule="auto"/>
      </w:pPr>
    </w:p>
    <w:p w14:paraId="42AAF6DF" w14:textId="601B2DEB" w:rsidR="0003024B" w:rsidRPr="00B81FBD" w:rsidRDefault="00FF6661" w:rsidP="00B81FBD">
      <w:pPr>
        <w:pStyle w:val="Heading1"/>
        <w:rPr>
          <w:rFonts w:asciiTheme="minorHAnsi" w:hAnsiTheme="minorHAnsi" w:cstheme="minorHAnsi"/>
          <w:sz w:val="32"/>
        </w:rPr>
      </w:pPr>
      <w:bookmarkStart w:id="72" w:name="_Toc209014423"/>
      <w:r w:rsidRPr="00B81FBD">
        <w:rPr>
          <w:rFonts w:asciiTheme="minorHAnsi" w:hAnsiTheme="minorHAnsi" w:cstheme="minorHAnsi"/>
          <w:sz w:val="32"/>
        </w:rPr>
        <w:t>16.0</w:t>
      </w:r>
      <w:r w:rsidRPr="00B81FBD">
        <w:rPr>
          <w:rFonts w:asciiTheme="minorHAnsi" w:hAnsiTheme="minorHAnsi" w:cstheme="minorHAnsi"/>
          <w:sz w:val="32"/>
        </w:rPr>
        <w:tab/>
      </w:r>
      <w:r w:rsidR="003B2D8E">
        <w:rPr>
          <w:rFonts w:asciiTheme="minorHAnsi" w:hAnsiTheme="minorHAnsi" w:cstheme="minorHAnsi"/>
          <w:sz w:val="32"/>
        </w:rPr>
        <w:tab/>
      </w:r>
      <w:r w:rsidRPr="00B81FBD">
        <w:rPr>
          <w:rFonts w:asciiTheme="minorHAnsi" w:hAnsiTheme="minorHAnsi" w:cstheme="minorHAnsi"/>
          <w:sz w:val="32"/>
        </w:rPr>
        <w:t>Clery Act Crime Statistics</w:t>
      </w:r>
      <w:bookmarkEnd w:id="72"/>
    </w:p>
    <w:p w14:paraId="6B9D018C" w14:textId="6980E210" w:rsidR="00FF6661" w:rsidRPr="00B81FBD" w:rsidRDefault="00E7060C" w:rsidP="00B81FBD">
      <w:pPr>
        <w:pStyle w:val="Heading2"/>
        <w:ind w:left="720" w:hanging="720"/>
        <w:rPr>
          <w:rFonts w:asciiTheme="minorHAnsi" w:hAnsiTheme="minorHAnsi" w:cstheme="minorHAnsi"/>
          <w:sz w:val="24"/>
          <w:szCs w:val="24"/>
        </w:rPr>
      </w:pPr>
      <w:bookmarkStart w:id="73" w:name="_Toc209014424"/>
      <w:r w:rsidRPr="00B81FBD">
        <w:rPr>
          <w:rFonts w:asciiTheme="minorHAnsi" w:hAnsiTheme="minorHAnsi" w:cstheme="minorHAnsi"/>
          <w:sz w:val="24"/>
          <w:szCs w:val="24"/>
        </w:rPr>
        <w:t>16.1</w:t>
      </w:r>
      <w:r w:rsidRPr="00B81FBD">
        <w:rPr>
          <w:rFonts w:asciiTheme="minorHAnsi" w:hAnsiTheme="minorHAnsi" w:cstheme="minorHAnsi"/>
          <w:sz w:val="24"/>
          <w:szCs w:val="24"/>
        </w:rPr>
        <w:tab/>
        <w:t>CLERY ACT CRIME STATISTICS, SOURCES, AND UNF</w:t>
      </w:r>
      <w:r w:rsidR="00603615" w:rsidRPr="00B81FBD">
        <w:rPr>
          <w:rFonts w:asciiTheme="minorHAnsi" w:hAnsiTheme="minorHAnsi" w:cstheme="minorHAnsi"/>
          <w:sz w:val="24"/>
          <w:szCs w:val="24"/>
        </w:rPr>
        <w:t>OUNDED CRIME REPORTS</w:t>
      </w:r>
      <w:bookmarkEnd w:id="73"/>
    </w:p>
    <w:p w14:paraId="5014D652" w14:textId="2AF79D10" w:rsidR="00603615" w:rsidRDefault="00603615" w:rsidP="00603615">
      <w:r>
        <w:t>Pursuant to Clery Act requirements, the Campus Safety Office is charged with the responsibility to collect, classify, and report crime statistics to the U.S. Department of Education as well as current and prospective students and employees.  Clery crimes are reported to the Department of Education via a web-based online reporting tool and to the campus community in the Annual Security Report (ASR) by October 1 of each year.</w:t>
      </w:r>
    </w:p>
    <w:p w14:paraId="0FFC6102" w14:textId="232DD49A" w:rsidR="00603615" w:rsidRDefault="00725E40" w:rsidP="00603615">
      <w:r>
        <w:lastRenderedPageBreak/>
        <w:t>This section of the ASR contains Clery crime statistics data that have been comp</w:t>
      </w:r>
      <w:r w:rsidR="00DF2A7F">
        <w:t>iled from the 20</w:t>
      </w:r>
      <w:r w:rsidR="00FA05C0">
        <w:t>2</w:t>
      </w:r>
      <w:r w:rsidR="00AC137F">
        <w:t>2</w:t>
      </w:r>
      <w:r w:rsidR="00DF2A7F">
        <w:t>, 202</w:t>
      </w:r>
      <w:r w:rsidR="00AC137F">
        <w:t>3</w:t>
      </w:r>
      <w:r w:rsidR="00DF2A7F">
        <w:t>, and 202</w:t>
      </w:r>
      <w:r w:rsidR="00AC137F">
        <w:t>4</w:t>
      </w:r>
      <w:r w:rsidR="00DF2A7F">
        <w:t xml:space="preserve"> calendar years.  Crime statistic data under the Clery Act are disclosed based on where a crime occurs, the types of crimes that were reported, and the year in which the crimes were reported.</w:t>
      </w:r>
    </w:p>
    <w:p w14:paraId="60119EA3" w14:textId="34E269FE" w:rsidR="00DF2A7F" w:rsidRDefault="00DF2A7F" w:rsidP="00603615">
      <w:r>
        <w:t>Some crimes are not directly reported to the policy or to the Campus Safety Offic</w:t>
      </w:r>
      <w:r w:rsidR="002F5B45">
        <w:t>e (CSO).  As such, by collecting crime statistics data through other established channels, NHSC is able to obtain a more accurate picture of crimes occurring on NHSC property, campus-adjacent public property, and other campus -affiliated pro</w:t>
      </w:r>
      <w:r w:rsidR="00363F8D">
        <w:t>perties.  Clery crime statistic data are collected from non-law enforcement campus personnel identified as Campus</w:t>
      </w:r>
      <w:r w:rsidR="00101019">
        <w:t xml:space="preserve"> Security</w:t>
      </w:r>
      <w:r w:rsidR="00664768">
        <w:t xml:space="preserve"> Authorities (CSAs) </w:t>
      </w:r>
      <w:r w:rsidR="00FD388B">
        <w:t>as well as outside law enforcement agencies who have jurisdiction over certain campus-</w:t>
      </w:r>
      <w:r w:rsidR="00831B07">
        <w:t>affiliated locations classified as “non-campus buildings and property.”  Clery Act crime statistic</w:t>
      </w:r>
      <w:r w:rsidR="00E46DB8">
        <w:t xml:space="preserve"> data have been compiled from NHSC (CSO) records, CSA reports, and other law enforcement agencies with jurisdiction over NHSC Clery reporting geography.</w:t>
      </w:r>
    </w:p>
    <w:p w14:paraId="0D62368F" w14:textId="69DD609B" w:rsidR="00E46DB8" w:rsidRDefault="00E46DB8" w:rsidP="00603615">
      <w:r>
        <w:t xml:space="preserve">A crime is deemed to have been “reported” for Clery Act purposes when a witness, victim, third party, or offender (regardless of that person’s affiliation with NHSC) brings such allegation of crime to the attention of law enforcement or a CSA.  In turn, the crimes, and regardless of whether a finding of </w:t>
      </w:r>
      <w:r w:rsidR="00AC137F">
        <w:t>guilt</w:t>
      </w:r>
      <w:r>
        <w:t xml:space="preserve"> or responsibility has been assigned or any </w:t>
      </w:r>
      <w:r w:rsidR="00694E3B">
        <w:t>case has been forwarded/assigned to the District Attorney’s office.</w:t>
      </w:r>
    </w:p>
    <w:p w14:paraId="17AC04E7" w14:textId="4623FEC7" w:rsidR="00694E3B" w:rsidRPr="008673CD" w:rsidRDefault="00694E3B" w:rsidP="00603615">
      <w:pPr>
        <w:rPr>
          <w:b/>
          <w:bCs/>
        </w:rPr>
      </w:pPr>
      <w:r w:rsidRPr="008673CD">
        <w:rPr>
          <w:b/>
          <w:bCs/>
        </w:rPr>
        <w:t>Clery Act Crimes</w:t>
      </w:r>
    </w:p>
    <w:p w14:paraId="11D00BC9" w14:textId="7637FE5F" w:rsidR="00694E3B" w:rsidRDefault="00334558" w:rsidP="00603615">
      <w:r>
        <w:t>Clery reportable crime statistic data include the number of each of the following crimes that occurred on or within NHSC Clery Act Geography that have been reported to CSO or other CSA</w:t>
      </w:r>
      <w:r w:rsidR="00C17C13">
        <w:t>s:</w:t>
      </w:r>
    </w:p>
    <w:p w14:paraId="07F39152" w14:textId="068A65C8" w:rsidR="008673CD" w:rsidRDefault="00167D7F" w:rsidP="00603615">
      <w:r>
        <w:rPr>
          <w:b/>
          <w:bCs/>
        </w:rPr>
        <w:t xml:space="preserve">Primary Crimes: </w:t>
      </w:r>
      <w:r>
        <w:t xml:space="preserve">(1) Murder and non-negligent </w:t>
      </w:r>
      <w:r w:rsidR="00AC137F">
        <w:t>manslaughter</w:t>
      </w:r>
      <w:r>
        <w:t xml:space="preserve"> (criminal homicide); (2) Manslaughter by Negligence</w:t>
      </w:r>
      <w:r w:rsidR="0041402B">
        <w:t xml:space="preserve"> (criminal homicide); (3) Rape; (4)</w:t>
      </w:r>
      <w:r w:rsidR="00F11F42">
        <w:t xml:space="preserve"> Fondling; (5) Incest; (6) Statutory Rape; (7)</w:t>
      </w:r>
      <w:r w:rsidR="00CC46A0">
        <w:t xml:space="preserve"> Robbery; (8) Aggravated Assault; (9) Burglary; (10) Motor Vehicle</w:t>
      </w:r>
      <w:r w:rsidR="00F31BE0">
        <w:t xml:space="preserve"> Theft; and (11) Arson.</w:t>
      </w:r>
    </w:p>
    <w:p w14:paraId="5DDB4596" w14:textId="7A014440" w:rsidR="00F31BE0" w:rsidRDefault="00F31BE0" w:rsidP="00603615">
      <w:r>
        <w:rPr>
          <w:b/>
          <w:bCs/>
        </w:rPr>
        <w:lastRenderedPageBreak/>
        <w:t xml:space="preserve">Hate Crimes: </w:t>
      </w:r>
      <w:r w:rsidR="00E15FD9">
        <w:t>Any of the above-mentioned offenses under “Primary Crimes” in addition to any incidents of Larceny-Theft, Simple Assault, Intimidation, or Destruction/Damage/Vandalism of Property that were motivated by one of the categories of bias.  Categories of bias are race, gender,</w:t>
      </w:r>
      <w:r w:rsidR="00096512">
        <w:t xml:space="preserve"> religion, sexual orientation, ethnicity, disability, national origin, and gender identity.</w:t>
      </w:r>
    </w:p>
    <w:p w14:paraId="4420252E" w14:textId="53C7DF2F" w:rsidR="00096512" w:rsidRDefault="005A0FA5" w:rsidP="00603615">
      <w:r>
        <w:rPr>
          <w:b/>
          <w:bCs/>
        </w:rPr>
        <w:t xml:space="preserve">Violence Against Women Act (VAWA) Offenses:  </w:t>
      </w:r>
      <w:r>
        <w:t>Any incidents of Domestic Violence, Dating Violence, and Stalking.  (Note that</w:t>
      </w:r>
      <w:r w:rsidR="005D05AD">
        <w:t xml:space="preserve"> sexual assault is also a VAWA Offense but is included in the Criminal Offenses category for Clery Act reporting purposes.)</w:t>
      </w:r>
    </w:p>
    <w:p w14:paraId="10EC554D" w14:textId="09FB9FE6" w:rsidR="002C3C4E" w:rsidRDefault="002C3C4E" w:rsidP="00603615">
      <w:r>
        <w:rPr>
          <w:b/>
          <w:bCs/>
        </w:rPr>
        <w:t xml:space="preserve">Arrests and Referrals for Disciplinary Action:  </w:t>
      </w:r>
      <w:r>
        <w:t>(1) Arrests for liquor law violations, drug law violations</w:t>
      </w:r>
      <w:r w:rsidR="00C47E22">
        <w:t>, and weapons law violations; and/or (2) Persons affiliated with NHSC who are referred for campus disciplinary action for liquor law violations, drug law violations, and weapons law violations.</w:t>
      </w:r>
    </w:p>
    <w:p w14:paraId="351B7662" w14:textId="09157BE1" w:rsidR="00C47E22" w:rsidRDefault="0018666B" w:rsidP="00603615">
      <w:pPr>
        <w:rPr>
          <w:b/>
          <w:bCs/>
        </w:rPr>
      </w:pPr>
      <w:r>
        <w:rPr>
          <w:b/>
          <w:bCs/>
        </w:rPr>
        <w:t>Unfounded Crime Reports</w:t>
      </w:r>
    </w:p>
    <w:p w14:paraId="1FCE752F" w14:textId="769F1D8B" w:rsidR="0018666B" w:rsidRDefault="0018666B" w:rsidP="00A604A3">
      <w:r>
        <w:t>NHSC is required to include in the Department of Education</w:t>
      </w:r>
      <w:r w:rsidR="005E7389">
        <w:t>’s web-based survey and the ASR statistics the total number of crimes reports that were “unfounded” and subsequently withheld from crime statistics during each of the three most recent calendar years.  A Clery crime reported</w:t>
      </w:r>
      <w:r w:rsidR="00BB7A22">
        <w:t xml:space="preserve"> to NHSC may not be withheld or subsequently removed from the Clery crime statistics database</w:t>
      </w:r>
      <w:r w:rsidR="00A77DB7">
        <w:t xml:space="preserve"> on a decision by a court, coroner, jury, prosecutor, or other similar non-campus official.  However, a reported crime may be withheld or subsequently removed from the crime statistics </w:t>
      </w:r>
      <w:r w:rsidR="000B5750">
        <w:t>if sworn or commissioned law enforcement personnel have fully investigated the reported crime and based on the results of a full investigation and evidence, have made a formal determination that the crime report is false or baseless and therefore unfounded.</w:t>
      </w:r>
    </w:p>
    <w:p w14:paraId="559C3C0A" w14:textId="324A261B" w:rsidR="00D90BE7" w:rsidRDefault="000B5750" w:rsidP="00603615">
      <w:r>
        <w:t>It is important to not</w:t>
      </w:r>
      <w:r w:rsidR="00DD36E3">
        <w:t>e</w:t>
      </w:r>
      <w:r>
        <w:t xml:space="preserve"> that the recovery of stolen property, the l</w:t>
      </w:r>
      <w:r w:rsidR="00F601D4">
        <w:t>ow value of stolen property, the refusal of the victim to cooperate with the prosecution, or the failure to make an arrest does not unfound a crime report.  For Clery Act purposes, the determination to unfound a crime can be made only when the totality of available information specifically indicates that the report was f</w:t>
      </w:r>
      <w:r w:rsidR="008F6650">
        <w:t>alse or baseless.</w:t>
      </w:r>
    </w:p>
    <w:p w14:paraId="62742F10" w14:textId="040AA336" w:rsidR="008F6650" w:rsidRPr="00B81FBD" w:rsidRDefault="008F6650" w:rsidP="00B81FBD">
      <w:pPr>
        <w:pStyle w:val="Heading2"/>
        <w:rPr>
          <w:rFonts w:asciiTheme="minorHAnsi" w:hAnsiTheme="minorHAnsi" w:cstheme="minorHAnsi"/>
          <w:sz w:val="24"/>
          <w:szCs w:val="24"/>
        </w:rPr>
      </w:pPr>
      <w:bookmarkStart w:id="74" w:name="_Toc209014425"/>
      <w:r w:rsidRPr="00B81FBD">
        <w:rPr>
          <w:rFonts w:asciiTheme="minorHAnsi" w:hAnsiTheme="minorHAnsi" w:cstheme="minorHAnsi"/>
          <w:sz w:val="24"/>
          <w:szCs w:val="24"/>
        </w:rPr>
        <w:lastRenderedPageBreak/>
        <w:t>16.2</w:t>
      </w:r>
      <w:r w:rsidRPr="00B81FBD">
        <w:rPr>
          <w:rFonts w:asciiTheme="minorHAnsi" w:hAnsiTheme="minorHAnsi" w:cstheme="minorHAnsi"/>
          <w:sz w:val="24"/>
          <w:szCs w:val="24"/>
        </w:rPr>
        <w:tab/>
        <w:t>CLERY ACT CRIMINAL OFFENSE STATISTICS REPORTING TABLES</w:t>
      </w:r>
      <w:bookmarkEnd w:id="74"/>
    </w:p>
    <w:p w14:paraId="23DBFA37" w14:textId="13ECB70A" w:rsidR="00F94941" w:rsidRPr="00D17B0D" w:rsidRDefault="00D867DA" w:rsidP="00603615">
      <w:pPr>
        <w:rPr>
          <w:color w:val="0072C6" w:themeColor="accent1"/>
        </w:rPr>
      </w:pPr>
      <w:r w:rsidRPr="00D17B0D">
        <w:rPr>
          <w:color w:val="0072C6" w:themeColor="accent1"/>
        </w:rPr>
        <w:t>Clery Act Crime Statistics</w:t>
      </w:r>
    </w:p>
    <w:tbl>
      <w:tblPr>
        <w:tblStyle w:val="BusinessPaper"/>
        <w:tblW w:w="0" w:type="auto"/>
        <w:tblLook w:val="04A0" w:firstRow="1" w:lastRow="0" w:firstColumn="1" w:lastColumn="0" w:noHBand="0" w:noVBand="1"/>
      </w:tblPr>
      <w:tblGrid>
        <w:gridCol w:w="3240"/>
        <w:gridCol w:w="1080"/>
        <w:gridCol w:w="1350"/>
        <w:gridCol w:w="1440"/>
        <w:gridCol w:w="1440"/>
        <w:gridCol w:w="1350"/>
      </w:tblGrid>
      <w:tr w:rsidR="005E1172" w:rsidRPr="007A3571" w14:paraId="137B89A2" w14:textId="77777777" w:rsidTr="00B927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40" w:type="dxa"/>
          </w:tcPr>
          <w:p w14:paraId="5767E606" w14:textId="414D78B3" w:rsidR="005E1172" w:rsidRPr="007A3571" w:rsidRDefault="005E1172" w:rsidP="004A553A">
            <w:pPr>
              <w:jc w:val="center"/>
              <w:rPr>
                <w:rFonts w:asciiTheme="minorHAnsi" w:hAnsiTheme="minorHAnsi" w:cstheme="minorHAnsi"/>
                <w:b w:val="0"/>
                <w:bCs/>
                <w:color w:val="FDF9F7" w:themeColor="background2"/>
                <w:sz w:val="24"/>
              </w:rPr>
            </w:pPr>
            <w:r>
              <w:rPr>
                <w:rFonts w:asciiTheme="minorHAnsi" w:hAnsiTheme="minorHAnsi" w:cstheme="minorHAnsi"/>
                <w:b w:val="0"/>
                <w:bCs/>
                <w:color w:val="FDF9F7" w:themeColor="background2"/>
                <w:sz w:val="24"/>
              </w:rPr>
              <w:t>Offense</w:t>
            </w:r>
          </w:p>
        </w:tc>
        <w:tc>
          <w:tcPr>
            <w:tcW w:w="1080" w:type="dxa"/>
          </w:tcPr>
          <w:p w14:paraId="47F047B9" w14:textId="1489ECCD" w:rsidR="005E1172" w:rsidRPr="007A3571" w:rsidRDefault="005E1172" w:rsidP="004A553A">
            <w:pPr>
              <w:jc w:val="center"/>
              <w:cnfStyle w:val="100000000000" w:firstRow="1" w:lastRow="0" w:firstColumn="0" w:lastColumn="0" w:oddVBand="0" w:evenVBand="0" w:oddHBand="0" w:evenHBand="0" w:firstRowFirstColumn="0" w:firstRowLastColumn="0" w:lastRowFirstColumn="0" w:lastRowLastColumn="0"/>
              <w:rPr>
                <w:rFonts w:cstheme="minorHAnsi"/>
                <w:b w:val="0"/>
                <w:bCs/>
                <w:color w:val="FDF9F7" w:themeColor="background2"/>
                <w:sz w:val="24"/>
              </w:rPr>
            </w:pPr>
            <w:r>
              <w:rPr>
                <w:rFonts w:cstheme="minorHAnsi"/>
                <w:b w:val="0"/>
                <w:bCs/>
                <w:color w:val="FDF9F7" w:themeColor="background2"/>
                <w:sz w:val="24"/>
              </w:rPr>
              <w:t>Year</w:t>
            </w:r>
          </w:p>
        </w:tc>
        <w:tc>
          <w:tcPr>
            <w:tcW w:w="1350" w:type="dxa"/>
          </w:tcPr>
          <w:p w14:paraId="67FC7259" w14:textId="34687811" w:rsidR="005E1172" w:rsidRPr="007A3571" w:rsidRDefault="005E1172" w:rsidP="004A553A">
            <w:pPr>
              <w:jc w:val="center"/>
              <w:cnfStyle w:val="100000000000" w:firstRow="1" w:lastRow="0" w:firstColumn="0" w:lastColumn="0" w:oddVBand="0" w:evenVBand="0" w:oddHBand="0" w:evenHBand="0" w:firstRowFirstColumn="0" w:firstRowLastColumn="0" w:lastRowFirstColumn="0" w:lastRowLastColumn="0"/>
              <w:rPr>
                <w:rFonts w:cstheme="minorHAnsi"/>
                <w:b w:val="0"/>
                <w:bCs/>
                <w:color w:val="FDF9F7" w:themeColor="background2"/>
                <w:sz w:val="24"/>
              </w:rPr>
            </w:pPr>
            <w:r>
              <w:rPr>
                <w:rFonts w:cstheme="minorHAnsi"/>
                <w:b w:val="0"/>
                <w:bCs/>
                <w:color w:val="FDF9F7" w:themeColor="background2"/>
                <w:sz w:val="24"/>
              </w:rPr>
              <w:t>On-Campus</w:t>
            </w:r>
          </w:p>
        </w:tc>
        <w:tc>
          <w:tcPr>
            <w:tcW w:w="1440" w:type="dxa"/>
          </w:tcPr>
          <w:p w14:paraId="6FE758AA" w14:textId="01D148B3" w:rsidR="005E1172" w:rsidRPr="007A3571" w:rsidRDefault="005E1172" w:rsidP="00847420">
            <w:pPr>
              <w:jc w:val="center"/>
              <w:cnfStyle w:val="100000000000" w:firstRow="1" w:lastRow="0" w:firstColumn="0" w:lastColumn="0" w:oddVBand="0" w:evenVBand="0" w:oddHBand="0" w:evenHBand="0" w:firstRowFirstColumn="0" w:firstRowLastColumn="0" w:lastRowFirstColumn="0" w:lastRowLastColumn="0"/>
              <w:rPr>
                <w:rFonts w:cstheme="minorHAnsi"/>
                <w:b w:val="0"/>
                <w:bCs/>
                <w:color w:val="FDF9F7" w:themeColor="background2"/>
                <w:sz w:val="24"/>
              </w:rPr>
            </w:pPr>
            <w:r>
              <w:rPr>
                <w:rFonts w:cstheme="minorHAnsi"/>
                <w:b w:val="0"/>
                <w:bCs/>
                <w:color w:val="FDF9F7" w:themeColor="background2"/>
                <w:sz w:val="24"/>
              </w:rPr>
              <w:t>Non-Campus</w:t>
            </w:r>
          </w:p>
        </w:tc>
        <w:tc>
          <w:tcPr>
            <w:tcW w:w="1440" w:type="dxa"/>
          </w:tcPr>
          <w:p w14:paraId="194158C9" w14:textId="3C7CC7DA" w:rsidR="005E1172" w:rsidRPr="007A3571" w:rsidRDefault="005E1172" w:rsidP="004A553A">
            <w:pPr>
              <w:jc w:val="center"/>
              <w:cnfStyle w:val="100000000000" w:firstRow="1" w:lastRow="0" w:firstColumn="0" w:lastColumn="0" w:oddVBand="0" w:evenVBand="0" w:oddHBand="0" w:evenHBand="0" w:firstRowFirstColumn="0" w:firstRowLastColumn="0" w:lastRowFirstColumn="0" w:lastRowLastColumn="0"/>
              <w:rPr>
                <w:rFonts w:cstheme="minorHAnsi"/>
                <w:b w:val="0"/>
                <w:bCs/>
                <w:color w:val="FDF9F7" w:themeColor="background2"/>
                <w:sz w:val="24"/>
              </w:rPr>
            </w:pPr>
            <w:r>
              <w:rPr>
                <w:rFonts w:cstheme="minorHAnsi"/>
                <w:b w:val="0"/>
                <w:bCs/>
                <w:color w:val="FDF9F7" w:themeColor="background2"/>
                <w:sz w:val="24"/>
              </w:rPr>
              <w:t>Public Property</w:t>
            </w:r>
          </w:p>
        </w:tc>
        <w:tc>
          <w:tcPr>
            <w:tcW w:w="1350" w:type="dxa"/>
          </w:tcPr>
          <w:p w14:paraId="7AF7E790" w14:textId="7E801B8E" w:rsidR="005E1172" w:rsidRPr="000F0A1C" w:rsidRDefault="005E1172" w:rsidP="004A553A">
            <w:pPr>
              <w:jc w:val="center"/>
              <w:cnfStyle w:val="100000000000" w:firstRow="1" w:lastRow="0" w:firstColumn="0" w:lastColumn="0" w:oddVBand="0" w:evenVBand="0" w:oddHBand="0" w:evenHBand="0" w:firstRowFirstColumn="0" w:firstRowLastColumn="0" w:lastRowFirstColumn="0" w:lastRowLastColumn="0"/>
              <w:rPr>
                <w:rFonts w:cstheme="minorHAnsi"/>
                <w:b w:val="0"/>
                <w:bCs/>
                <w:color w:val="FDF9F7" w:themeColor="background2"/>
              </w:rPr>
            </w:pPr>
            <w:r>
              <w:rPr>
                <w:rFonts w:cstheme="minorHAnsi"/>
                <w:b w:val="0"/>
                <w:bCs/>
                <w:color w:val="FDF9F7" w:themeColor="background2"/>
                <w:sz w:val="24"/>
              </w:rPr>
              <w:t>Total</w:t>
            </w:r>
          </w:p>
        </w:tc>
      </w:tr>
      <w:tr w:rsidR="005E1172" w:rsidRPr="007A3571" w14:paraId="224DF600"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val="restart"/>
          </w:tcPr>
          <w:p w14:paraId="055BCB52" w14:textId="086884F4" w:rsidR="005E1172" w:rsidRPr="007E2B3D" w:rsidRDefault="005E1172" w:rsidP="003F4113">
            <w:pPr>
              <w:spacing w:before="120" w:after="120"/>
              <w:jc w:val="center"/>
              <w:rPr>
                <w:rFonts w:asciiTheme="minorHAnsi" w:hAnsiTheme="minorHAnsi" w:cstheme="minorHAnsi"/>
                <w:bCs/>
              </w:rPr>
            </w:pPr>
            <w:r>
              <w:rPr>
                <w:rFonts w:asciiTheme="minorHAnsi" w:hAnsiTheme="minorHAnsi" w:cstheme="minorHAnsi"/>
                <w:bCs/>
              </w:rPr>
              <w:t>Murder/Non-Negligent Manslaughter</w:t>
            </w:r>
          </w:p>
        </w:tc>
        <w:tc>
          <w:tcPr>
            <w:tcW w:w="1080" w:type="dxa"/>
          </w:tcPr>
          <w:p w14:paraId="2D93B67F" w14:textId="7BC19716" w:rsidR="005E1172" w:rsidRPr="007E2B3D" w:rsidRDefault="005E1172" w:rsidP="00A2563A">
            <w:pPr>
              <w:spacing w:before="0" w:after="100" w:afterAutospacing="1"/>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202</w:t>
            </w:r>
            <w:r w:rsidR="00AC137F">
              <w:rPr>
                <w:rFonts w:cstheme="minorHAnsi"/>
                <w:b w:val="0"/>
                <w:bCs/>
              </w:rPr>
              <w:t>4</w:t>
            </w:r>
          </w:p>
        </w:tc>
        <w:tc>
          <w:tcPr>
            <w:tcW w:w="1350" w:type="dxa"/>
          </w:tcPr>
          <w:p w14:paraId="16CCF856" w14:textId="4DBC6BDD" w:rsidR="005E1172" w:rsidRPr="007E2B3D" w:rsidRDefault="005E1172" w:rsidP="00B32F96">
            <w:pPr>
              <w:spacing w:before="0"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033CE952" w14:textId="46E29407" w:rsidR="005E1172" w:rsidRPr="007E2B3D" w:rsidRDefault="005E1172" w:rsidP="00B32F96">
            <w:pPr>
              <w:spacing w:before="0"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52CF96CD" w14:textId="7D55BB63" w:rsidR="005E1172" w:rsidRPr="007E2B3D" w:rsidRDefault="005E1172" w:rsidP="00B32F96">
            <w:pPr>
              <w:spacing w:before="0"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00D9102B" w14:textId="5D02C5EA" w:rsidR="005E1172" w:rsidRPr="00F75D9E" w:rsidRDefault="005E1172" w:rsidP="00B32F96">
            <w:pPr>
              <w:spacing w:before="0"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rPr>
            </w:pPr>
            <w:r w:rsidRPr="00F75D9E">
              <w:rPr>
                <w:rFonts w:cstheme="minorHAnsi"/>
              </w:rPr>
              <w:t>0</w:t>
            </w:r>
          </w:p>
        </w:tc>
      </w:tr>
      <w:tr w:rsidR="005E1172" w:rsidRPr="007A3571" w14:paraId="60D4DC81"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23E31035" w14:textId="77777777" w:rsidR="005E1172" w:rsidRPr="007E2B3D" w:rsidRDefault="005E1172" w:rsidP="003F4113">
            <w:pPr>
              <w:spacing w:before="0" w:after="100" w:afterAutospacing="1"/>
              <w:jc w:val="center"/>
              <w:rPr>
                <w:rFonts w:asciiTheme="minorHAnsi" w:hAnsiTheme="minorHAnsi" w:cstheme="minorHAnsi"/>
                <w:bCs/>
              </w:rPr>
            </w:pPr>
          </w:p>
        </w:tc>
        <w:tc>
          <w:tcPr>
            <w:tcW w:w="1080" w:type="dxa"/>
          </w:tcPr>
          <w:p w14:paraId="58F174B1" w14:textId="1A864924" w:rsidR="005E1172" w:rsidRPr="007E2B3D" w:rsidRDefault="005E1172" w:rsidP="00A2563A">
            <w:pPr>
              <w:spacing w:before="0" w:after="100" w:afterAutospacing="1"/>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202</w:t>
            </w:r>
            <w:r w:rsidR="00AC137F">
              <w:rPr>
                <w:rFonts w:cstheme="minorHAnsi"/>
                <w:b w:val="0"/>
                <w:bCs/>
              </w:rPr>
              <w:t>3</w:t>
            </w:r>
          </w:p>
        </w:tc>
        <w:tc>
          <w:tcPr>
            <w:tcW w:w="1350" w:type="dxa"/>
          </w:tcPr>
          <w:p w14:paraId="42168BAC" w14:textId="4E6F9313" w:rsidR="005E1172" w:rsidRPr="007E2B3D" w:rsidRDefault="005E1172" w:rsidP="00B32F96">
            <w:pPr>
              <w:spacing w:before="0"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6E900337" w14:textId="66F7395B" w:rsidR="005E1172" w:rsidRPr="007E2B3D" w:rsidRDefault="005E1172" w:rsidP="00B32F96">
            <w:pPr>
              <w:spacing w:before="0"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25D837D0" w14:textId="35604DB2" w:rsidR="005E1172" w:rsidRPr="007E2B3D" w:rsidRDefault="005E1172" w:rsidP="00B32F96">
            <w:pPr>
              <w:spacing w:before="0"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72E1F084" w14:textId="4A91863F" w:rsidR="005E1172" w:rsidRPr="00F75D9E" w:rsidRDefault="005E1172" w:rsidP="00B32F96">
            <w:pPr>
              <w:spacing w:before="0"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rPr>
            </w:pPr>
            <w:r w:rsidRPr="00F75D9E">
              <w:rPr>
                <w:rFonts w:cstheme="minorHAnsi"/>
              </w:rPr>
              <w:t>0</w:t>
            </w:r>
          </w:p>
        </w:tc>
      </w:tr>
      <w:tr w:rsidR="005E1172" w:rsidRPr="007A3571" w14:paraId="1B8273C6"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611C3813" w14:textId="77777777" w:rsidR="005E1172" w:rsidRPr="007E2B3D" w:rsidRDefault="005E1172" w:rsidP="003F4113">
            <w:pPr>
              <w:spacing w:before="0" w:after="100" w:afterAutospacing="1"/>
              <w:jc w:val="center"/>
              <w:rPr>
                <w:rFonts w:asciiTheme="minorHAnsi" w:hAnsiTheme="minorHAnsi" w:cstheme="minorHAnsi"/>
                <w:bCs/>
              </w:rPr>
            </w:pPr>
          </w:p>
        </w:tc>
        <w:tc>
          <w:tcPr>
            <w:tcW w:w="1080" w:type="dxa"/>
          </w:tcPr>
          <w:p w14:paraId="12A00A5F" w14:textId="0E85032B" w:rsidR="005E1172" w:rsidRPr="007E2B3D" w:rsidRDefault="005E1172" w:rsidP="00A2563A">
            <w:pPr>
              <w:spacing w:before="0" w:after="100" w:afterAutospacing="1"/>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w:t>
            </w:r>
            <w:r w:rsidR="009658F9">
              <w:rPr>
                <w:rFonts w:cstheme="minorHAnsi"/>
                <w:b w:val="0"/>
                <w:bCs/>
              </w:rPr>
              <w:t>2</w:t>
            </w:r>
            <w:r w:rsidR="00AC137F">
              <w:rPr>
                <w:rFonts w:cstheme="minorHAnsi"/>
                <w:b w:val="0"/>
                <w:bCs/>
              </w:rPr>
              <w:t>2</w:t>
            </w:r>
          </w:p>
        </w:tc>
        <w:tc>
          <w:tcPr>
            <w:tcW w:w="1350" w:type="dxa"/>
          </w:tcPr>
          <w:p w14:paraId="20BA8D58" w14:textId="4BD7FDE5" w:rsidR="005E1172" w:rsidRPr="007E2B3D" w:rsidRDefault="005E1172" w:rsidP="00B32F96">
            <w:pPr>
              <w:spacing w:before="0"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6DCE504B" w14:textId="42C8B35E" w:rsidR="005E1172" w:rsidRPr="007E2B3D" w:rsidRDefault="005E1172" w:rsidP="00B32F96">
            <w:pPr>
              <w:spacing w:before="0"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1EEB50F9" w14:textId="2896053A" w:rsidR="005E1172" w:rsidRPr="007E2B3D" w:rsidRDefault="005E1172" w:rsidP="00B32F96">
            <w:pPr>
              <w:spacing w:before="0"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448E2085" w14:textId="1E534103" w:rsidR="005E1172" w:rsidRPr="00F75D9E" w:rsidRDefault="005E1172" w:rsidP="00B32F96">
            <w:pPr>
              <w:spacing w:before="0" w:after="100" w:afterAutospacing="1"/>
              <w:jc w:val="center"/>
              <w:cnfStyle w:val="000000000000" w:firstRow="0" w:lastRow="0" w:firstColumn="0" w:lastColumn="0" w:oddVBand="0" w:evenVBand="0" w:oddHBand="0" w:evenHBand="0" w:firstRowFirstColumn="0" w:firstRowLastColumn="0" w:lastRowFirstColumn="0" w:lastRowLastColumn="0"/>
              <w:rPr>
                <w:rFonts w:cstheme="minorHAnsi"/>
              </w:rPr>
            </w:pPr>
            <w:r w:rsidRPr="00F75D9E">
              <w:rPr>
                <w:rFonts w:cstheme="minorHAnsi"/>
              </w:rPr>
              <w:t>0</w:t>
            </w:r>
          </w:p>
        </w:tc>
      </w:tr>
      <w:tr w:rsidR="005E1172" w:rsidRPr="007A3571" w14:paraId="1B044FD1"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val="restart"/>
          </w:tcPr>
          <w:p w14:paraId="76A02428" w14:textId="7A70ED84" w:rsidR="005E1172" w:rsidRPr="007E2B3D" w:rsidRDefault="005E1172" w:rsidP="003F4113">
            <w:pPr>
              <w:spacing w:before="120" w:after="120"/>
              <w:jc w:val="center"/>
              <w:rPr>
                <w:rFonts w:asciiTheme="minorHAnsi" w:hAnsiTheme="minorHAnsi" w:cstheme="minorHAnsi"/>
                <w:bCs/>
              </w:rPr>
            </w:pPr>
            <w:r>
              <w:rPr>
                <w:rFonts w:asciiTheme="minorHAnsi" w:hAnsiTheme="minorHAnsi" w:cstheme="minorHAnsi"/>
                <w:bCs/>
              </w:rPr>
              <w:t>Manslaughter by Negligence</w:t>
            </w:r>
          </w:p>
        </w:tc>
        <w:tc>
          <w:tcPr>
            <w:tcW w:w="1080" w:type="dxa"/>
          </w:tcPr>
          <w:p w14:paraId="7897F954" w14:textId="1DAB0DF5" w:rsidR="005E1172" w:rsidRPr="007E2B3D" w:rsidRDefault="005E1172" w:rsidP="00DA3E10">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202</w:t>
            </w:r>
            <w:r w:rsidR="00AC137F">
              <w:rPr>
                <w:rFonts w:cstheme="minorHAnsi"/>
                <w:b w:val="0"/>
                <w:bCs/>
              </w:rPr>
              <w:t>4</w:t>
            </w:r>
          </w:p>
        </w:tc>
        <w:tc>
          <w:tcPr>
            <w:tcW w:w="1350" w:type="dxa"/>
          </w:tcPr>
          <w:p w14:paraId="794513CF" w14:textId="6A5748CE" w:rsidR="005E1172" w:rsidRPr="007E2B3D" w:rsidRDefault="005E1172" w:rsidP="0016554B">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62B1247A" w14:textId="210A7BDD" w:rsidR="005E1172" w:rsidRPr="007E2B3D" w:rsidRDefault="005E1172" w:rsidP="0016554B">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40D155DB" w14:textId="2A3E8868" w:rsidR="005E1172" w:rsidRPr="007E2B3D" w:rsidRDefault="005E1172" w:rsidP="0016554B">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39D77DDD" w14:textId="3C03BD52" w:rsidR="005E1172" w:rsidRPr="00F75D9E" w:rsidRDefault="005E1172" w:rsidP="0016554B">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r>
      <w:tr w:rsidR="005E1172" w:rsidRPr="007A3571" w14:paraId="460B7E40"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0F76D82D" w14:textId="77777777" w:rsidR="005E1172" w:rsidRPr="007E2B3D" w:rsidRDefault="005E1172" w:rsidP="003F4113">
            <w:pPr>
              <w:spacing w:before="0" w:after="0"/>
              <w:jc w:val="center"/>
              <w:rPr>
                <w:rFonts w:asciiTheme="minorHAnsi" w:hAnsiTheme="minorHAnsi" w:cstheme="minorHAnsi"/>
                <w:bCs/>
              </w:rPr>
            </w:pPr>
          </w:p>
        </w:tc>
        <w:tc>
          <w:tcPr>
            <w:tcW w:w="1080" w:type="dxa"/>
          </w:tcPr>
          <w:p w14:paraId="5D4FE241" w14:textId="1A4A4520" w:rsidR="005E1172" w:rsidRPr="007E2B3D" w:rsidRDefault="005E1172" w:rsidP="00DA3E10">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202</w:t>
            </w:r>
            <w:r w:rsidR="00AC137F">
              <w:rPr>
                <w:rFonts w:cstheme="minorHAnsi"/>
                <w:b w:val="0"/>
                <w:bCs/>
              </w:rPr>
              <w:t>3</w:t>
            </w:r>
          </w:p>
        </w:tc>
        <w:tc>
          <w:tcPr>
            <w:tcW w:w="1350" w:type="dxa"/>
          </w:tcPr>
          <w:p w14:paraId="5CA7C262" w14:textId="7682CDD3" w:rsidR="005E1172" w:rsidRPr="007E2B3D" w:rsidRDefault="005E1172" w:rsidP="0016554B">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6737003D" w14:textId="291FB2B0" w:rsidR="005E1172" w:rsidRPr="007E2B3D" w:rsidRDefault="005E1172" w:rsidP="0016554B">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441120B1" w14:textId="4016C5BB" w:rsidR="005E1172" w:rsidRPr="007E2B3D" w:rsidRDefault="005E1172" w:rsidP="0016554B">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601FFBCB" w14:textId="44AC6ED3" w:rsidR="005E1172" w:rsidRPr="00F75D9E" w:rsidRDefault="005E1172" w:rsidP="0016554B">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r>
      <w:tr w:rsidR="005E1172" w:rsidRPr="007A3571" w14:paraId="1E993280"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41F73F7B" w14:textId="77777777" w:rsidR="005E1172" w:rsidRPr="007E2B3D" w:rsidRDefault="005E1172" w:rsidP="003F4113">
            <w:pPr>
              <w:spacing w:before="0" w:after="0"/>
              <w:jc w:val="center"/>
              <w:rPr>
                <w:rFonts w:asciiTheme="minorHAnsi" w:hAnsiTheme="minorHAnsi" w:cstheme="minorHAnsi"/>
                <w:bCs/>
              </w:rPr>
            </w:pPr>
          </w:p>
        </w:tc>
        <w:tc>
          <w:tcPr>
            <w:tcW w:w="1080" w:type="dxa"/>
          </w:tcPr>
          <w:p w14:paraId="454B308B" w14:textId="7C9E3197" w:rsidR="005E1172" w:rsidRPr="007E2B3D" w:rsidRDefault="005E1172" w:rsidP="00DA3E10">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w:t>
            </w:r>
            <w:r w:rsidR="002E2F4D">
              <w:rPr>
                <w:rFonts w:cstheme="minorHAnsi"/>
                <w:b w:val="0"/>
                <w:bCs/>
              </w:rPr>
              <w:t>2</w:t>
            </w:r>
            <w:r w:rsidR="00AC137F">
              <w:rPr>
                <w:rFonts w:cstheme="minorHAnsi"/>
                <w:b w:val="0"/>
                <w:bCs/>
              </w:rPr>
              <w:t>2</w:t>
            </w:r>
          </w:p>
        </w:tc>
        <w:tc>
          <w:tcPr>
            <w:tcW w:w="1350" w:type="dxa"/>
          </w:tcPr>
          <w:p w14:paraId="70921CAF" w14:textId="262470F7" w:rsidR="005E1172" w:rsidRPr="007E2B3D" w:rsidRDefault="005E1172" w:rsidP="0016554B">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6F10C2CD" w14:textId="4B17FA32" w:rsidR="005E1172" w:rsidRPr="007E2B3D" w:rsidRDefault="005E1172" w:rsidP="0016554B">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710E1ED1" w14:textId="71E62AC0" w:rsidR="005E1172" w:rsidRPr="007E2B3D" w:rsidRDefault="005E1172" w:rsidP="0016554B">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45C12AF1" w14:textId="2602F8BE" w:rsidR="005E1172" w:rsidRPr="00F75D9E" w:rsidRDefault="005E1172" w:rsidP="0016554B">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r>
      <w:tr w:rsidR="005E1172" w:rsidRPr="007A3571" w14:paraId="0B9BE9E6"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val="restart"/>
          </w:tcPr>
          <w:p w14:paraId="76330EE5" w14:textId="210DAAC6" w:rsidR="005E1172" w:rsidRPr="007E2B3D" w:rsidRDefault="005E1172" w:rsidP="00A17E9E">
            <w:pPr>
              <w:spacing w:after="0"/>
              <w:jc w:val="center"/>
              <w:rPr>
                <w:rFonts w:asciiTheme="minorHAnsi" w:hAnsiTheme="minorHAnsi" w:cstheme="minorHAnsi"/>
                <w:bCs/>
              </w:rPr>
            </w:pPr>
            <w:r>
              <w:rPr>
                <w:rFonts w:asciiTheme="minorHAnsi" w:hAnsiTheme="minorHAnsi" w:cstheme="minorHAnsi"/>
                <w:bCs/>
              </w:rPr>
              <w:t>Rape</w:t>
            </w:r>
          </w:p>
        </w:tc>
        <w:tc>
          <w:tcPr>
            <w:tcW w:w="1080" w:type="dxa"/>
          </w:tcPr>
          <w:p w14:paraId="1FCF6273" w14:textId="707EFBAE" w:rsidR="005E1172" w:rsidRPr="007E2B3D" w:rsidRDefault="005E1172" w:rsidP="00B408E2">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202</w:t>
            </w:r>
            <w:r w:rsidR="00AC137F">
              <w:rPr>
                <w:rFonts w:cstheme="minorHAnsi"/>
                <w:b w:val="0"/>
                <w:bCs/>
              </w:rPr>
              <w:t>4</w:t>
            </w:r>
          </w:p>
        </w:tc>
        <w:tc>
          <w:tcPr>
            <w:tcW w:w="1350" w:type="dxa"/>
          </w:tcPr>
          <w:p w14:paraId="7200A7F9" w14:textId="646540FD" w:rsidR="005E1172" w:rsidRPr="007E2B3D" w:rsidRDefault="005E1172" w:rsidP="003F4113">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06D9E516" w14:textId="5DC3BAF3" w:rsidR="005E1172" w:rsidRPr="007E2B3D" w:rsidRDefault="005E1172" w:rsidP="003F4113">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70362500" w14:textId="38E7DF1C" w:rsidR="005E1172" w:rsidRPr="007E2B3D" w:rsidRDefault="005E1172" w:rsidP="003F4113">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6836710D" w14:textId="3266FF0D" w:rsidR="005E1172" w:rsidRPr="00F75D9E" w:rsidRDefault="005E1172" w:rsidP="003F4113">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r>
      <w:tr w:rsidR="005E1172" w:rsidRPr="007A3571" w14:paraId="437874B6"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7768DECA" w14:textId="77777777" w:rsidR="005E1172" w:rsidRPr="007E2B3D" w:rsidRDefault="005E1172" w:rsidP="003F4113">
            <w:pPr>
              <w:spacing w:before="0" w:after="0"/>
              <w:jc w:val="center"/>
              <w:rPr>
                <w:rFonts w:asciiTheme="minorHAnsi" w:hAnsiTheme="minorHAnsi" w:cstheme="minorHAnsi"/>
                <w:bCs/>
              </w:rPr>
            </w:pPr>
          </w:p>
        </w:tc>
        <w:tc>
          <w:tcPr>
            <w:tcW w:w="1080" w:type="dxa"/>
          </w:tcPr>
          <w:p w14:paraId="0D37DB1B" w14:textId="1D8749CE" w:rsidR="005E1172" w:rsidRPr="007E2B3D" w:rsidRDefault="005E1172" w:rsidP="00B408E2">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202</w:t>
            </w:r>
            <w:r w:rsidR="00AC137F">
              <w:rPr>
                <w:rFonts w:cstheme="minorHAnsi"/>
                <w:b w:val="0"/>
                <w:bCs/>
              </w:rPr>
              <w:t>3</w:t>
            </w:r>
          </w:p>
        </w:tc>
        <w:tc>
          <w:tcPr>
            <w:tcW w:w="1350" w:type="dxa"/>
          </w:tcPr>
          <w:p w14:paraId="32DD47B1" w14:textId="3453734F" w:rsidR="005E1172" w:rsidRPr="007E2B3D" w:rsidRDefault="005E1172" w:rsidP="003F4113">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15A582D1" w14:textId="1AE52379" w:rsidR="005E1172" w:rsidRPr="007E2B3D" w:rsidRDefault="005E1172" w:rsidP="003F4113">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09983943" w14:textId="638E938D" w:rsidR="005E1172" w:rsidRPr="007E2B3D" w:rsidRDefault="005E1172" w:rsidP="003F4113">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2FD96EB2" w14:textId="6FBF6F36" w:rsidR="005E1172" w:rsidRPr="00F75D9E" w:rsidRDefault="005E1172" w:rsidP="003F4113">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r>
      <w:tr w:rsidR="005E1172" w:rsidRPr="007A3571" w14:paraId="505FD17C"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7F223FFB" w14:textId="77777777" w:rsidR="005E1172" w:rsidRPr="007A3571" w:rsidRDefault="005E1172" w:rsidP="003F4113">
            <w:pPr>
              <w:spacing w:before="0" w:after="0"/>
              <w:jc w:val="center"/>
              <w:rPr>
                <w:rFonts w:asciiTheme="minorHAnsi" w:hAnsiTheme="minorHAnsi" w:cstheme="minorHAnsi"/>
                <w:bCs/>
              </w:rPr>
            </w:pPr>
          </w:p>
        </w:tc>
        <w:tc>
          <w:tcPr>
            <w:tcW w:w="1080" w:type="dxa"/>
          </w:tcPr>
          <w:p w14:paraId="5FFD8687" w14:textId="7C1D228C" w:rsidR="005E1172" w:rsidRPr="007A3571" w:rsidRDefault="005E1172" w:rsidP="00B408E2">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w:t>
            </w:r>
            <w:r w:rsidR="002E2F4D">
              <w:rPr>
                <w:rFonts w:cstheme="minorHAnsi"/>
                <w:b w:val="0"/>
                <w:bCs/>
              </w:rPr>
              <w:t>2</w:t>
            </w:r>
            <w:r w:rsidR="00AC137F">
              <w:rPr>
                <w:rFonts w:cstheme="minorHAnsi"/>
                <w:b w:val="0"/>
                <w:bCs/>
              </w:rPr>
              <w:t>2</w:t>
            </w:r>
          </w:p>
        </w:tc>
        <w:tc>
          <w:tcPr>
            <w:tcW w:w="1350" w:type="dxa"/>
          </w:tcPr>
          <w:p w14:paraId="1C1EDD1C" w14:textId="1E1A4AD4" w:rsidR="005E1172" w:rsidRPr="007A3571" w:rsidRDefault="005E1172" w:rsidP="003F4113">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34BF300D" w14:textId="56AAD671" w:rsidR="005E1172" w:rsidRPr="007A3571" w:rsidRDefault="005E1172" w:rsidP="003F4113">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25A340FC" w14:textId="72F19B44" w:rsidR="005E1172" w:rsidRPr="007A3571" w:rsidRDefault="005E1172" w:rsidP="003F4113">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0300CA5C" w14:textId="39DE8753" w:rsidR="005E1172" w:rsidRPr="002B1700" w:rsidRDefault="005E1172" w:rsidP="003F4113">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2B1700">
              <w:rPr>
                <w:rFonts w:cstheme="minorHAnsi"/>
              </w:rPr>
              <w:t>0</w:t>
            </w:r>
          </w:p>
        </w:tc>
      </w:tr>
      <w:tr w:rsidR="005E1172" w:rsidRPr="007A3571" w14:paraId="05BCC11E"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val="restart"/>
          </w:tcPr>
          <w:p w14:paraId="06F46662" w14:textId="724CB45C" w:rsidR="005E1172" w:rsidRPr="007A3571" w:rsidRDefault="005E1172" w:rsidP="00A17E9E">
            <w:pPr>
              <w:spacing w:after="0"/>
              <w:jc w:val="center"/>
              <w:rPr>
                <w:rFonts w:asciiTheme="minorHAnsi" w:hAnsiTheme="minorHAnsi" w:cstheme="minorHAnsi"/>
                <w:bCs/>
              </w:rPr>
            </w:pPr>
            <w:r>
              <w:rPr>
                <w:rFonts w:asciiTheme="minorHAnsi" w:hAnsiTheme="minorHAnsi" w:cstheme="minorHAnsi"/>
                <w:bCs/>
              </w:rPr>
              <w:t>Fondling</w:t>
            </w:r>
          </w:p>
        </w:tc>
        <w:tc>
          <w:tcPr>
            <w:tcW w:w="1080" w:type="dxa"/>
          </w:tcPr>
          <w:p w14:paraId="69086A08" w14:textId="516A1D9A" w:rsidR="005E1172" w:rsidRPr="007A3571" w:rsidRDefault="005E1172" w:rsidP="00A17E9E">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202</w:t>
            </w:r>
            <w:r w:rsidR="00AC137F">
              <w:rPr>
                <w:rFonts w:cstheme="minorHAnsi"/>
                <w:b w:val="0"/>
                <w:bCs/>
              </w:rPr>
              <w:t>4</w:t>
            </w:r>
          </w:p>
        </w:tc>
        <w:tc>
          <w:tcPr>
            <w:tcW w:w="1350" w:type="dxa"/>
          </w:tcPr>
          <w:p w14:paraId="02D8AA19" w14:textId="03867EFB" w:rsidR="005E1172" w:rsidRPr="007A3571" w:rsidRDefault="005E1172" w:rsidP="009121A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69259DEE" w14:textId="06C0D980" w:rsidR="005E1172" w:rsidRPr="007A3571" w:rsidRDefault="005E1172" w:rsidP="009121A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6328AE57" w14:textId="2F64B87A" w:rsidR="005E1172" w:rsidRPr="007A3571" w:rsidRDefault="005E1172" w:rsidP="009121A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2AB53B9D" w14:textId="4605E3E8" w:rsidR="005E1172" w:rsidRPr="002B1700" w:rsidRDefault="005E1172" w:rsidP="009121A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2B1700">
              <w:rPr>
                <w:rFonts w:cstheme="minorHAnsi"/>
              </w:rPr>
              <w:t>0</w:t>
            </w:r>
          </w:p>
        </w:tc>
      </w:tr>
      <w:tr w:rsidR="005E1172" w:rsidRPr="007A3571" w14:paraId="7E91AA33"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35494F86" w14:textId="77777777" w:rsidR="005E1172" w:rsidRPr="007A3571" w:rsidRDefault="005E1172" w:rsidP="00A17E9E">
            <w:pPr>
              <w:spacing w:before="0" w:after="0"/>
              <w:jc w:val="center"/>
              <w:rPr>
                <w:rFonts w:asciiTheme="minorHAnsi" w:hAnsiTheme="minorHAnsi" w:cstheme="minorHAnsi"/>
                <w:bCs/>
              </w:rPr>
            </w:pPr>
          </w:p>
        </w:tc>
        <w:tc>
          <w:tcPr>
            <w:tcW w:w="1080" w:type="dxa"/>
          </w:tcPr>
          <w:p w14:paraId="587CA749" w14:textId="32147AB8" w:rsidR="005E1172" w:rsidRPr="007A3571" w:rsidRDefault="005E1172" w:rsidP="00A17E9E">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202</w:t>
            </w:r>
            <w:r w:rsidR="00AC137F">
              <w:rPr>
                <w:rFonts w:cstheme="minorHAnsi"/>
                <w:b w:val="0"/>
                <w:bCs/>
              </w:rPr>
              <w:t>3</w:t>
            </w:r>
          </w:p>
        </w:tc>
        <w:tc>
          <w:tcPr>
            <w:tcW w:w="1350" w:type="dxa"/>
          </w:tcPr>
          <w:p w14:paraId="412A9308" w14:textId="6B050EF9" w:rsidR="005E1172" w:rsidRPr="007A3571" w:rsidRDefault="005E1172" w:rsidP="009121A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495F6AD0" w14:textId="27FD1A2E" w:rsidR="005E1172" w:rsidRPr="007A3571" w:rsidRDefault="005E1172" w:rsidP="009121A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6C9176B1" w14:textId="33E22C94" w:rsidR="005E1172" w:rsidRPr="007A3571" w:rsidRDefault="005E1172" w:rsidP="009121A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238348EE" w14:textId="06D509C1" w:rsidR="005E1172" w:rsidRPr="002B1700" w:rsidRDefault="005E1172" w:rsidP="009121A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2B1700">
              <w:rPr>
                <w:rFonts w:cstheme="minorHAnsi"/>
              </w:rPr>
              <w:t>0</w:t>
            </w:r>
          </w:p>
        </w:tc>
      </w:tr>
      <w:tr w:rsidR="005E1172" w:rsidRPr="007A3571" w14:paraId="76CE76D1"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353B5B44" w14:textId="77777777" w:rsidR="005E1172" w:rsidRPr="007A3571" w:rsidRDefault="005E1172" w:rsidP="00A17E9E">
            <w:pPr>
              <w:spacing w:before="0" w:after="0"/>
              <w:jc w:val="center"/>
              <w:rPr>
                <w:rFonts w:asciiTheme="minorHAnsi" w:hAnsiTheme="minorHAnsi" w:cstheme="minorHAnsi"/>
                <w:bCs/>
              </w:rPr>
            </w:pPr>
          </w:p>
        </w:tc>
        <w:tc>
          <w:tcPr>
            <w:tcW w:w="1080" w:type="dxa"/>
          </w:tcPr>
          <w:p w14:paraId="4129198B" w14:textId="6EE75289" w:rsidR="005E1172" w:rsidRPr="007A3571" w:rsidRDefault="005E1172" w:rsidP="00A17E9E">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w:t>
            </w:r>
            <w:r w:rsidR="002E2F4D">
              <w:rPr>
                <w:rFonts w:cstheme="minorHAnsi"/>
                <w:b w:val="0"/>
                <w:bCs/>
              </w:rPr>
              <w:t>2</w:t>
            </w:r>
            <w:r w:rsidR="00AC137F">
              <w:rPr>
                <w:rFonts w:cstheme="minorHAnsi"/>
                <w:b w:val="0"/>
                <w:bCs/>
              </w:rPr>
              <w:t>2</w:t>
            </w:r>
          </w:p>
        </w:tc>
        <w:tc>
          <w:tcPr>
            <w:tcW w:w="1350" w:type="dxa"/>
          </w:tcPr>
          <w:p w14:paraId="60C5BB2B" w14:textId="35E3D860" w:rsidR="005E1172" w:rsidRPr="007A3571" w:rsidRDefault="005E1172" w:rsidP="009121A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49805351" w14:textId="2E5A1641" w:rsidR="005E1172" w:rsidRPr="007A3571" w:rsidRDefault="005E1172" w:rsidP="009121A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5B09162D" w14:textId="51149980" w:rsidR="005E1172" w:rsidRPr="007A3571" w:rsidRDefault="005E1172" w:rsidP="009121A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06A4AEB1" w14:textId="53D5B8BA" w:rsidR="005E1172" w:rsidRPr="002B1700" w:rsidRDefault="005E1172" w:rsidP="009121A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2B1700">
              <w:rPr>
                <w:rFonts w:cstheme="minorHAnsi"/>
              </w:rPr>
              <w:t>0</w:t>
            </w:r>
          </w:p>
        </w:tc>
      </w:tr>
      <w:tr w:rsidR="005E1172" w:rsidRPr="007A3571" w14:paraId="3B7A5993"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val="restart"/>
          </w:tcPr>
          <w:p w14:paraId="69B12ACE" w14:textId="46FF6EF3" w:rsidR="005E1172" w:rsidRPr="007A3571" w:rsidRDefault="005E1172" w:rsidP="009E3FB2">
            <w:pPr>
              <w:spacing w:after="0"/>
              <w:jc w:val="center"/>
              <w:rPr>
                <w:rFonts w:asciiTheme="minorHAnsi" w:hAnsiTheme="minorHAnsi" w:cstheme="minorHAnsi"/>
                <w:bCs/>
              </w:rPr>
            </w:pPr>
            <w:r>
              <w:rPr>
                <w:rFonts w:asciiTheme="minorHAnsi" w:hAnsiTheme="minorHAnsi" w:cstheme="minorHAnsi"/>
                <w:bCs/>
              </w:rPr>
              <w:t>Incest</w:t>
            </w:r>
          </w:p>
        </w:tc>
        <w:tc>
          <w:tcPr>
            <w:tcW w:w="1080" w:type="dxa"/>
          </w:tcPr>
          <w:p w14:paraId="4CC41CD8" w14:textId="79EF8B10" w:rsidR="005E1172" w:rsidRPr="007A3571" w:rsidRDefault="005E1172" w:rsidP="009E3FB2">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202</w:t>
            </w:r>
            <w:r w:rsidR="00AC137F">
              <w:rPr>
                <w:rFonts w:cstheme="minorHAnsi"/>
                <w:b w:val="0"/>
                <w:bCs/>
              </w:rPr>
              <w:t>4</w:t>
            </w:r>
          </w:p>
        </w:tc>
        <w:tc>
          <w:tcPr>
            <w:tcW w:w="1350" w:type="dxa"/>
          </w:tcPr>
          <w:p w14:paraId="1A93558D" w14:textId="429F790D" w:rsidR="005E1172" w:rsidRPr="007A3571" w:rsidRDefault="005E1172" w:rsidP="009E3FB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0A5E2572" w14:textId="744FC33D" w:rsidR="005E1172" w:rsidRPr="007A3571" w:rsidRDefault="005E1172" w:rsidP="009E3FB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58CF3132" w14:textId="33020328" w:rsidR="005E1172" w:rsidRPr="007A3571" w:rsidRDefault="005E1172" w:rsidP="009E3FB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1F9F4081" w14:textId="6F3FE314" w:rsidR="005E1172" w:rsidRPr="00B415C1" w:rsidRDefault="005E1172" w:rsidP="009E3FB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B415C1">
              <w:rPr>
                <w:rFonts w:cstheme="minorHAnsi"/>
              </w:rPr>
              <w:t>0</w:t>
            </w:r>
          </w:p>
        </w:tc>
      </w:tr>
      <w:tr w:rsidR="005E1172" w:rsidRPr="007A3571" w14:paraId="15B120A5"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5FCB2588" w14:textId="77777777" w:rsidR="005E1172" w:rsidRPr="007A3571" w:rsidRDefault="005E1172" w:rsidP="009E3FB2">
            <w:pPr>
              <w:spacing w:before="0" w:after="0"/>
              <w:jc w:val="center"/>
              <w:rPr>
                <w:rFonts w:asciiTheme="minorHAnsi" w:hAnsiTheme="minorHAnsi" w:cstheme="minorHAnsi"/>
                <w:bCs/>
              </w:rPr>
            </w:pPr>
          </w:p>
        </w:tc>
        <w:tc>
          <w:tcPr>
            <w:tcW w:w="1080" w:type="dxa"/>
          </w:tcPr>
          <w:p w14:paraId="0F6BB70A" w14:textId="02F2CDFF" w:rsidR="005E1172" w:rsidRPr="007A3571" w:rsidRDefault="005E1172" w:rsidP="009E3FB2">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202</w:t>
            </w:r>
            <w:r w:rsidR="00AC137F">
              <w:rPr>
                <w:rFonts w:cstheme="minorHAnsi"/>
                <w:b w:val="0"/>
                <w:bCs/>
              </w:rPr>
              <w:t>3</w:t>
            </w:r>
          </w:p>
        </w:tc>
        <w:tc>
          <w:tcPr>
            <w:tcW w:w="1350" w:type="dxa"/>
          </w:tcPr>
          <w:p w14:paraId="3259ABF0" w14:textId="00F77666" w:rsidR="005E1172" w:rsidRPr="007A3571" w:rsidRDefault="005E1172" w:rsidP="009E3FB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08B2EE08" w14:textId="17DE7EF2" w:rsidR="005E1172" w:rsidRPr="007A3571" w:rsidRDefault="005E1172" w:rsidP="009E3FB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53626C44" w14:textId="4DB8DB06" w:rsidR="005E1172" w:rsidRPr="007A3571" w:rsidRDefault="005E1172" w:rsidP="009E3FB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01E051DC" w14:textId="47B753DA" w:rsidR="005E1172" w:rsidRPr="00B415C1" w:rsidRDefault="005E1172" w:rsidP="009E3FB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B415C1">
              <w:rPr>
                <w:rFonts w:cstheme="minorHAnsi"/>
              </w:rPr>
              <w:t>0</w:t>
            </w:r>
          </w:p>
        </w:tc>
      </w:tr>
      <w:tr w:rsidR="005E1172" w:rsidRPr="007A3571" w14:paraId="548AC3CB"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473E0481" w14:textId="77777777" w:rsidR="005E1172" w:rsidRPr="007A3571" w:rsidRDefault="005E1172" w:rsidP="009E3FB2">
            <w:pPr>
              <w:spacing w:before="0" w:after="0"/>
              <w:jc w:val="center"/>
              <w:rPr>
                <w:rFonts w:asciiTheme="minorHAnsi" w:hAnsiTheme="minorHAnsi" w:cstheme="minorHAnsi"/>
                <w:bCs/>
              </w:rPr>
            </w:pPr>
          </w:p>
        </w:tc>
        <w:tc>
          <w:tcPr>
            <w:tcW w:w="1080" w:type="dxa"/>
          </w:tcPr>
          <w:p w14:paraId="313F99F0" w14:textId="10AF9C8F" w:rsidR="005E1172" w:rsidRPr="007A3571" w:rsidRDefault="005E1172" w:rsidP="009E3FB2">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w:t>
            </w:r>
            <w:r w:rsidR="00092EDF">
              <w:rPr>
                <w:rFonts w:cstheme="minorHAnsi"/>
                <w:b w:val="0"/>
                <w:bCs/>
              </w:rPr>
              <w:t>2</w:t>
            </w:r>
            <w:r w:rsidR="00AC137F">
              <w:rPr>
                <w:rFonts w:cstheme="minorHAnsi"/>
                <w:b w:val="0"/>
                <w:bCs/>
              </w:rPr>
              <w:t>2</w:t>
            </w:r>
          </w:p>
        </w:tc>
        <w:tc>
          <w:tcPr>
            <w:tcW w:w="1350" w:type="dxa"/>
          </w:tcPr>
          <w:p w14:paraId="70015431" w14:textId="5F18AC1C" w:rsidR="005E1172" w:rsidRPr="007A3571" w:rsidRDefault="005E1172" w:rsidP="009E3FB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0C036165" w14:textId="2D33AED5" w:rsidR="005E1172" w:rsidRPr="007A3571" w:rsidRDefault="005E1172" w:rsidP="009E3FB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78BC218D" w14:textId="32C6EFFB" w:rsidR="005E1172" w:rsidRPr="007A3571" w:rsidRDefault="005E1172" w:rsidP="009E3FB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64601176" w14:textId="14F1386B" w:rsidR="005E1172" w:rsidRPr="00B415C1" w:rsidRDefault="005E1172" w:rsidP="009E3FB2">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B415C1">
              <w:rPr>
                <w:rFonts w:cstheme="minorHAnsi"/>
              </w:rPr>
              <w:t>0</w:t>
            </w:r>
          </w:p>
        </w:tc>
      </w:tr>
      <w:tr w:rsidR="005E1172" w:rsidRPr="007A3571" w14:paraId="1DBD8540"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val="restart"/>
          </w:tcPr>
          <w:p w14:paraId="6A861A1C" w14:textId="51FD61C4" w:rsidR="005E1172" w:rsidRPr="007A3571" w:rsidRDefault="005E1172" w:rsidP="003C4F95">
            <w:pPr>
              <w:spacing w:after="0"/>
              <w:jc w:val="center"/>
              <w:rPr>
                <w:rFonts w:asciiTheme="minorHAnsi" w:hAnsiTheme="minorHAnsi" w:cstheme="minorHAnsi"/>
                <w:bCs/>
              </w:rPr>
            </w:pPr>
            <w:r>
              <w:rPr>
                <w:rFonts w:asciiTheme="minorHAnsi" w:hAnsiTheme="minorHAnsi" w:cstheme="minorHAnsi"/>
                <w:bCs/>
              </w:rPr>
              <w:t>Statutory Rape</w:t>
            </w:r>
          </w:p>
        </w:tc>
        <w:tc>
          <w:tcPr>
            <w:tcW w:w="1080" w:type="dxa"/>
          </w:tcPr>
          <w:p w14:paraId="35A49C6F" w14:textId="29DB92C4" w:rsidR="005E1172" w:rsidRPr="007A3571" w:rsidRDefault="005E1172" w:rsidP="00B415C1">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202</w:t>
            </w:r>
            <w:r w:rsidR="00AC137F">
              <w:rPr>
                <w:rFonts w:cstheme="minorHAnsi"/>
                <w:b w:val="0"/>
                <w:bCs/>
              </w:rPr>
              <w:t>4</w:t>
            </w:r>
          </w:p>
        </w:tc>
        <w:tc>
          <w:tcPr>
            <w:tcW w:w="1350" w:type="dxa"/>
          </w:tcPr>
          <w:p w14:paraId="07121642" w14:textId="644D6866" w:rsidR="005E1172" w:rsidRPr="007A3571" w:rsidRDefault="005E1172" w:rsidP="003C4F9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20563BFC" w14:textId="21BCD0F3" w:rsidR="005E1172" w:rsidRPr="007A3571" w:rsidRDefault="005E1172" w:rsidP="003C4F9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2747F3F6" w14:textId="63A8BED6" w:rsidR="005E1172" w:rsidRPr="007A3571" w:rsidRDefault="005E1172" w:rsidP="003C4F9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0E66EDCD" w14:textId="5BADF94C" w:rsidR="005E1172" w:rsidRPr="00E17B74" w:rsidRDefault="005E1172" w:rsidP="003C4F9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E17B74">
              <w:rPr>
                <w:rFonts w:cstheme="minorHAnsi"/>
              </w:rPr>
              <w:t>0</w:t>
            </w:r>
          </w:p>
        </w:tc>
      </w:tr>
      <w:tr w:rsidR="005E1172" w:rsidRPr="007A3571" w14:paraId="46266B72"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0AADAF6F" w14:textId="77777777" w:rsidR="005E1172" w:rsidRPr="007A3571" w:rsidRDefault="005E1172" w:rsidP="00B415C1">
            <w:pPr>
              <w:spacing w:before="0" w:after="0"/>
              <w:jc w:val="center"/>
              <w:rPr>
                <w:rFonts w:asciiTheme="minorHAnsi" w:hAnsiTheme="minorHAnsi" w:cstheme="minorHAnsi"/>
                <w:bCs/>
              </w:rPr>
            </w:pPr>
          </w:p>
        </w:tc>
        <w:tc>
          <w:tcPr>
            <w:tcW w:w="1080" w:type="dxa"/>
          </w:tcPr>
          <w:p w14:paraId="442FFE3B" w14:textId="204D99BC" w:rsidR="005E1172" w:rsidRPr="007A3571" w:rsidRDefault="005E1172" w:rsidP="00B415C1">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202</w:t>
            </w:r>
            <w:r w:rsidR="00AC137F">
              <w:rPr>
                <w:rFonts w:cstheme="minorHAnsi"/>
                <w:b w:val="0"/>
                <w:bCs/>
              </w:rPr>
              <w:t>3</w:t>
            </w:r>
          </w:p>
        </w:tc>
        <w:tc>
          <w:tcPr>
            <w:tcW w:w="1350" w:type="dxa"/>
          </w:tcPr>
          <w:p w14:paraId="0038ED29" w14:textId="3C41C57B" w:rsidR="005E1172" w:rsidRPr="007A3571" w:rsidRDefault="005E1172" w:rsidP="003C4F9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45358999" w14:textId="72D2A064" w:rsidR="005E1172" w:rsidRPr="007A3571" w:rsidRDefault="005E1172" w:rsidP="003C4F9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31EC82FB" w14:textId="1560235A" w:rsidR="005E1172" w:rsidRPr="007A3571" w:rsidRDefault="005E1172" w:rsidP="003C4F9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5969AD33" w14:textId="2438F376" w:rsidR="005E1172" w:rsidRPr="00E17B74" w:rsidRDefault="005E1172" w:rsidP="003C4F9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E17B74">
              <w:rPr>
                <w:rFonts w:cstheme="minorHAnsi"/>
              </w:rPr>
              <w:t>0</w:t>
            </w:r>
          </w:p>
        </w:tc>
      </w:tr>
      <w:tr w:rsidR="005E1172" w:rsidRPr="007A3571" w14:paraId="28CDAF5D"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4AF4E029" w14:textId="77777777" w:rsidR="005E1172" w:rsidRPr="007A3571" w:rsidRDefault="005E1172" w:rsidP="00B415C1">
            <w:pPr>
              <w:spacing w:before="0" w:after="0"/>
              <w:rPr>
                <w:rFonts w:asciiTheme="minorHAnsi" w:hAnsiTheme="minorHAnsi" w:cstheme="minorHAnsi"/>
                <w:bCs/>
              </w:rPr>
            </w:pPr>
          </w:p>
        </w:tc>
        <w:tc>
          <w:tcPr>
            <w:tcW w:w="1080" w:type="dxa"/>
          </w:tcPr>
          <w:p w14:paraId="2F486661" w14:textId="5C5DCF4B" w:rsidR="005E1172" w:rsidRPr="007A3571" w:rsidRDefault="005E1172" w:rsidP="00B415C1">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w:t>
            </w:r>
            <w:r w:rsidR="00092EDF">
              <w:rPr>
                <w:rFonts w:cstheme="minorHAnsi"/>
                <w:b w:val="0"/>
                <w:bCs/>
              </w:rPr>
              <w:t>2</w:t>
            </w:r>
            <w:r w:rsidR="00AC137F">
              <w:rPr>
                <w:rFonts w:cstheme="minorHAnsi"/>
                <w:b w:val="0"/>
                <w:bCs/>
              </w:rPr>
              <w:t>2</w:t>
            </w:r>
          </w:p>
        </w:tc>
        <w:tc>
          <w:tcPr>
            <w:tcW w:w="1350" w:type="dxa"/>
          </w:tcPr>
          <w:p w14:paraId="078C56C8" w14:textId="37E0BF73" w:rsidR="005E1172" w:rsidRPr="007A3571" w:rsidRDefault="005E1172" w:rsidP="003C4F9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01F5E9F5" w14:textId="360B80B7" w:rsidR="005E1172" w:rsidRPr="007A3571" w:rsidRDefault="005E1172" w:rsidP="003C4F9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521D19D2" w14:textId="7255B622" w:rsidR="005E1172" w:rsidRPr="007A3571" w:rsidRDefault="005E1172" w:rsidP="003C4F9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41746183" w14:textId="5D392565" w:rsidR="005E1172" w:rsidRPr="00E17B74" w:rsidRDefault="005E1172" w:rsidP="003C4F9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E17B74">
              <w:rPr>
                <w:rFonts w:cstheme="minorHAnsi"/>
              </w:rPr>
              <w:t>0</w:t>
            </w:r>
          </w:p>
        </w:tc>
      </w:tr>
      <w:tr w:rsidR="005E1172" w:rsidRPr="007A3571" w14:paraId="1DF6947A"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val="restart"/>
          </w:tcPr>
          <w:p w14:paraId="75CD5547" w14:textId="6524AE67" w:rsidR="005E1172" w:rsidRPr="007A3571" w:rsidRDefault="005E1172" w:rsidP="0033051A">
            <w:pPr>
              <w:spacing w:after="0"/>
              <w:jc w:val="center"/>
              <w:rPr>
                <w:rFonts w:asciiTheme="minorHAnsi" w:hAnsiTheme="minorHAnsi" w:cstheme="minorHAnsi"/>
                <w:bCs/>
              </w:rPr>
            </w:pPr>
            <w:r>
              <w:rPr>
                <w:rFonts w:asciiTheme="minorHAnsi" w:hAnsiTheme="minorHAnsi" w:cstheme="minorHAnsi"/>
                <w:bCs/>
              </w:rPr>
              <w:t>Robbery</w:t>
            </w:r>
          </w:p>
        </w:tc>
        <w:tc>
          <w:tcPr>
            <w:tcW w:w="1080" w:type="dxa"/>
          </w:tcPr>
          <w:p w14:paraId="614D8478" w14:textId="3FDD1258" w:rsidR="005E1172" w:rsidRPr="007A3571" w:rsidRDefault="005E1172" w:rsidP="0016279E">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202</w:t>
            </w:r>
            <w:r w:rsidR="00AC137F">
              <w:rPr>
                <w:rFonts w:cstheme="minorHAnsi"/>
                <w:b w:val="0"/>
                <w:bCs/>
              </w:rPr>
              <w:t>4</w:t>
            </w:r>
          </w:p>
        </w:tc>
        <w:tc>
          <w:tcPr>
            <w:tcW w:w="1350" w:type="dxa"/>
          </w:tcPr>
          <w:p w14:paraId="75DFDD36" w14:textId="6C9FB7AA" w:rsidR="005E1172" w:rsidRPr="007A3571" w:rsidRDefault="005E1172" w:rsidP="0033051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47AEDB50" w14:textId="68C62894" w:rsidR="005E1172" w:rsidRPr="007A3571" w:rsidRDefault="005E1172" w:rsidP="0033051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1A20580B" w14:textId="150FB60C" w:rsidR="005E1172" w:rsidRPr="007A3571" w:rsidRDefault="005E1172" w:rsidP="0033051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65DE5883" w14:textId="16C79CA4" w:rsidR="005E1172" w:rsidRPr="0033051A" w:rsidRDefault="005E1172" w:rsidP="0033051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33051A">
              <w:rPr>
                <w:rFonts w:cstheme="minorHAnsi"/>
              </w:rPr>
              <w:t>0</w:t>
            </w:r>
          </w:p>
        </w:tc>
      </w:tr>
      <w:tr w:rsidR="005E1172" w:rsidRPr="007A3571" w14:paraId="22B40986"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17AABB9A" w14:textId="77777777" w:rsidR="005E1172" w:rsidRPr="007A3571" w:rsidRDefault="005E1172" w:rsidP="0016279E">
            <w:pPr>
              <w:spacing w:before="0" w:after="0"/>
              <w:rPr>
                <w:rFonts w:asciiTheme="minorHAnsi" w:hAnsiTheme="minorHAnsi" w:cstheme="minorHAnsi"/>
                <w:bCs/>
              </w:rPr>
            </w:pPr>
          </w:p>
        </w:tc>
        <w:tc>
          <w:tcPr>
            <w:tcW w:w="1080" w:type="dxa"/>
          </w:tcPr>
          <w:p w14:paraId="0BEBCE07" w14:textId="196422EB" w:rsidR="005E1172" w:rsidRPr="007A3571" w:rsidRDefault="005E1172" w:rsidP="0016279E">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202</w:t>
            </w:r>
            <w:r w:rsidR="00AC137F">
              <w:rPr>
                <w:rFonts w:cstheme="minorHAnsi"/>
                <w:b w:val="0"/>
                <w:bCs/>
              </w:rPr>
              <w:t>3</w:t>
            </w:r>
          </w:p>
        </w:tc>
        <w:tc>
          <w:tcPr>
            <w:tcW w:w="1350" w:type="dxa"/>
          </w:tcPr>
          <w:p w14:paraId="704B962A" w14:textId="02D0EE7D" w:rsidR="005E1172" w:rsidRPr="007A3571" w:rsidRDefault="005E1172" w:rsidP="0033051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3236DB95" w14:textId="25FF7D8A" w:rsidR="005E1172" w:rsidRPr="007A3571" w:rsidRDefault="005E1172" w:rsidP="0033051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7D92B21A" w14:textId="557FE582" w:rsidR="005E1172" w:rsidRPr="007A3571" w:rsidRDefault="005E1172" w:rsidP="0033051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7FC77A84" w14:textId="269485EB" w:rsidR="005E1172" w:rsidRPr="0033051A" w:rsidRDefault="005E1172" w:rsidP="0033051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33051A">
              <w:rPr>
                <w:rFonts w:cstheme="minorHAnsi"/>
              </w:rPr>
              <w:t>0</w:t>
            </w:r>
          </w:p>
        </w:tc>
      </w:tr>
      <w:tr w:rsidR="005E1172" w:rsidRPr="007A3571" w14:paraId="51C95D63"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6FDE1EFC" w14:textId="77777777" w:rsidR="005E1172" w:rsidRPr="007A3571" w:rsidRDefault="005E1172" w:rsidP="0016279E">
            <w:pPr>
              <w:spacing w:before="0" w:after="0"/>
              <w:rPr>
                <w:rFonts w:asciiTheme="minorHAnsi" w:hAnsiTheme="minorHAnsi" w:cstheme="minorHAnsi"/>
                <w:bCs/>
              </w:rPr>
            </w:pPr>
          </w:p>
        </w:tc>
        <w:tc>
          <w:tcPr>
            <w:tcW w:w="1080" w:type="dxa"/>
          </w:tcPr>
          <w:p w14:paraId="3757AA6D" w14:textId="540F9EBC" w:rsidR="005E1172" w:rsidRPr="007A3571" w:rsidRDefault="005E1172" w:rsidP="0016279E">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w:t>
            </w:r>
            <w:r w:rsidR="00092EDF">
              <w:rPr>
                <w:rFonts w:cstheme="minorHAnsi"/>
                <w:b w:val="0"/>
                <w:bCs/>
              </w:rPr>
              <w:t>2</w:t>
            </w:r>
            <w:r w:rsidR="00AC137F">
              <w:rPr>
                <w:rFonts w:cstheme="minorHAnsi"/>
                <w:b w:val="0"/>
                <w:bCs/>
              </w:rPr>
              <w:t>2</w:t>
            </w:r>
          </w:p>
        </w:tc>
        <w:tc>
          <w:tcPr>
            <w:tcW w:w="1350" w:type="dxa"/>
          </w:tcPr>
          <w:p w14:paraId="3931DB42" w14:textId="2AE24C1C" w:rsidR="005E1172" w:rsidRPr="007A3571" w:rsidRDefault="005E1172" w:rsidP="0033051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6E705E2C" w14:textId="653B8186" w:rsidR="005E1172" w:rsidRPr="007A3571" w:rsidRDefault="005E1172" w:rsidP="0033051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67D9B6C4" w14:textId="36E4EAD7" w:rsidR="005E1172" w:rsidRPr="007A3571" w:rsidRDefault="005E1172" w:rsidP="0033051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264575EA" w14:textId="071208EF" w:rsidR="005E1172" w:rsidRPr="0033051A" w:rsidRDefault="005E1172" w:rsidP="0033051A">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33051A">
              <w:rPr>
                <w:rFonts w:cstheme="minorHAnsi"/>
              </w:rPr>
              <w:t>0</w:t>
            </w:r>
          </w:p>
        </w:tc>
      </w:tr>
      <w:tr w:rsidR="00E07B5A" w:rsidRPr="007A3571" w14:paraId="2730E7F9"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val="restart"/>
          </w:tcPr>
          <w:p w14:paraId="003B1B21" w14:textId="21655C25" w:rsidR="00E07B5A" w:rsidRPr="007E4551" w:rsidRDefault="00E07B5A" w:rsidP="00FF3DA9">
            <w:pPr>
              <w:spacing w:after="0"/>
              <w:jc w:val="center"/>
              <w:rPr>
                <w:rFonts w:ascii="Arial" w:hAnsi="Arial" w:cs="Arial"/>
                <w:bCs/>
              </w:rPr>
            </w:pPr>
            <w:r w:rsidRPr="007E4551">
              <w:rPr>
                <w:rFonts w:ascii="Arial" w:hAnsi="Arial" w:cs="Arial"/>
                <w:bCs/>
              </w:rPr>
              <w:t>Aggravated Assault</w:t>
            </w:r>
          </w:p>
        </w:tc>
        <w:tc>
          <w:tcPr>
            <w:tcW w:w="1080" w:type="dxa"/>
          </w:tcPr>
          <w:p w14:paraId="768C7450" w14:textId="7AFF9E49" w:rsidR="00E07B5A" w:rsidRPr="00E07B5A" w:rsidRDefault="00E07B5A" w:rsidP="0033051A">
            <w:pPr>
              <w:spacing w:before="0" w:after="0"/>
              <w:cnfStyle w:val="000000000000" w:firstRow="0" w:lastRow="0" w:firstColumn="0" w:lastColumn="0" w:oddVBand="0" w:evenVBand="0" w:oddHBand="0" w:evenHBand="0" w:firstRowFirstColumn="0" w:firstRowLastColumn="0" w:lastRowFirstColumn="0" w:lastRowLastColumn="0"/>
              <w:rPr>
                <w:rFonts w:cstheme="minorHAnsi"/>
                <w:b w:val="0"/>
              </w:rPr>
            </w:pPr>
            <w:r>
              <w:rPr>
                <w:rFonts w:cstheme="minorHAnsi"/>
                <w:b w:val="0"/>
              </w:rPr>
              <w:t>202</w:t>
            </w:r>
            <w:r w:rsidR="00AC137F">
              <w:rPr>
                <w:rFonts w:cstheme="minorHAnsi"/>
                <w:b w:val="0"/>
              </w:rPr>
              <w:t>4</w:t>
            </w:r>
          </w:p>
        </w:tc>
        <w:tc>
          <w:tcPr>
            <w:tcW w:w="1350" w:type="dxa"/>
          </w:tcPr>
          <w:p w14:paraId="0557222A" w14:textId="3A51EA48" w:rsidR="00E07B5A" w:rsidRPr="00E07B5A" w:rsidRDefault="00A47299"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rPr>
            </w:pPr>
            <w:r>
              <w:rPr>
                <w:rFonts w:cstheme="minorHAnsi"/>
                <w:b w:val="0"/>
              </w:rPr>
              <w:t>0</w:t>
            </w:r>
          </w:p>
        </w:tc>
        <w:tc>
          <w:tcPr>
            <w:tcW w:w="1440" w:type="dxa"/>
          </w:tcPr>
          <w:p w14:paraId="7AC64759" w14:textId="7395AB16" w:rsidR="00E07B5A" w:rsidRPr="00E07B5A" w:rsidRDefault="00A47299"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rPr>
            </w:pPr>
            <w:r>
              <w:rPr>
                <w:rFonts w:cstheme="minorHAnsi"/>
                <w:b w:val="0"/>
              </w:rPr>
              <w:t>0</w:t>
            </w:r>
          </w:p>
        </w:tc>
        <w:tc>
          <w:tcPr>
            <w:tcW w:w="1440" w:type="dxa"/>
          </w:tcPr>
          <w:p w14:paraId="23AC13F9" w14:textId="4FD17084" w:rsidR="00E07B5A" w:rsidRPr="00E07B5A" w:rsidRDefault="00A47299"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rPr>
            </w:pPr>
            <w:r>
              <w:rPr>
                <w:rFonts w:cstheme="minorHAnsi"/>
                <w:b w:val="0"/>
              </w:rPr>
              <w:t>0</w:t>
            </w:r>
          </w:p>
        </w:tc>
        <w:tc>
          <w:tcPr>
            <w:tcW w:w="1350" w:type="dxa"/>
          </w:tcPr>
          <w:p w14:paraId="1B870E00" w14:textId="30D645CE" w:rsidR="00E07B5A" w:rsidRPr="0086121D" w:rsidRDefault="00A47299"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r>
      <w:tr w:rsidR="00E07B5A" w:rsidRPr="007A3571" w14:paraId="3C09461E"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1A400A5C" w14:textId="77777777" w:rsidR="00E07B5A" w:rsidRPr="007E4551" w:rsidRDefault="00E07B5A" w:rsidP="00FF3DA9">
            <w:pPr>
              <w:spacing w:after="0"/>
              <w:jc w:val="center"/>
              <w:rPr>
                <w:rFonts w:ascii="Arial" w:hAnsi="Arial" w:cs="Arial"/>
                <w:bCs/>
              </w:rPr>
            </w:pPr>
          </w:p>
        </w:tc>
        <w:tc>
          <w:tcPr>
            <w:tcW w:w="1080" w:type="dxa"/>
          </w:tcPr>
          <w:p w14:paraId="25DA292A" w14:textId="2E71B655" w:rsidR="00E07B5A" w:rsidRPr="00E07B5A" w:rsidRDefault="00E07B5A" w:rsidP="0033051A">
            <w:pPr>
              <w:spacing w:before="0" w:after="0"/>
              <w:cnfStyle w:val="000000000000" w:firstRow="0" w:lastRow="0" w:firstColumn="0" w:lastColumn="0" w:oddVBand="0" w:evenVBand="0" w:oddHBand="0" w:evenHBand="0" w:firstRowFirstColumn="0" w:firstRowLastColumn="0" w:lastRowFirstColumn="0" w:lastRowLastColumn="0"/>
              <w:rPr>
                <w:rFonts w:cstheme="minorHAnsi"/>
                <w:b w:val="0"/>
              </w:rPr>
            </w:pPr>
            <w:r>
              <w:rPr>
                <w:rFonts w:cstheme="minorHAnsi"/>
                <w:b w:val="0"/>
              </w:rPr>
              <w:t>202</w:t>
            </w:r>
            <w:r w:rsidR="00AC137F">
              <w:rPr>
                <w:rFonts w:cstheme="minorHAnsi"/>
                <w:b w:val="0"/>
              </w:rPr>
              <w:t>3</w:t>
            </w:r>
          </w:p>
        </w:tc>
        <w:tc>
          <w:tcPr>
            <w:tcW w:w="1350" w:type="dxa"/>
          </w:tcPr>
          <w:p w14:paraId="3D69FD82" w14:textId="2740BF1D" w:rsidR="00E07B5A" w:rsidRPr="00E07B5A" w:rsidRDefault="00A47299"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rPr>
            </w:pPr>
            <w:r>
              <w:rPr>
                <w:rFonts w:cstheme="minorHAnsi"/>
                <w:b w:val="0"/>
              </w:rPr>
              <w:t>0</w:t>
            </w:r>
          </w:p>
        </w:tc>
        <w:tc>
          <w:tcPr>
            <w:tcW w:w="1440" w:type="dxa"/>
          </w:tcPr>
          <w:p w14:paraId="262F487C" w14:textId="79F075C0" w:rsidR="00E07B5A" w:rsidRPr="00E07B5A" w:rsidRDefault="00A47299"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rPr>
            </w:pPr>
            <w:r>
              <w:rPr>
                <w:rFonts w:cstheme="minorHAnsi"/>
                <w:b w:val="0"/>
              </w:rPr>
              <w:t>0</w:t>
            </w:r>
          </w:p>
        </w:tc>
        <w:tc>
          <w:tcPr>
            <w:tcW w:w="1440" w:type="dxa"/>
          </w:tcPr>
          <w:p w14:paraId="7EFC71DE" w14:textId="18E24C20" w:rsidR="00E07B5A" w:rsidRPr="00E07B5A" w:rsidRDefault="00A47299"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rPr>
            </w:pPr>
            <w:r>
              <w:rPr>
                <w:rFonts w:cstheme="minorHAnsi"/>
                <w:b w:val="0"/>
              </w:rPr>
              <w:t>0</w:t>
            </w:r>
          </w:p>
        </w:tc>
        <w:tc>
          <w:tcPr>
            <w:tcW w:w="1350" w:type="dxa"/>
          </w:tcPr>
          <w:p w14:paraId="35A95406" w14:textId="3C8F2764" w:rsidR="00E07B5A" w:rsidRPr="0086121D" w:rsidRDefault="00A47299"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r>
      <w:tr w:rsidR="00E07B5A" w:rsidRPr="007A3571" w14:paraId="27E736AA"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4AD3C1DE" w14:textId="77777777" w:rsidR="00E07B5A" w:rsidRPr="007E4551" w:rsidRDefault="00E07B5A" w:rsidP="00FF3DA9">
            <w:pPr>
              <w:spacing w:after="0"/>
              <w:jc w:val="center"/>
              <w:rPr>
                <w:rFonts w:ascii="Arial" w:hAnsi="Arial" w:cs="Arial"/>
                <w:bCs/>
              </w:rPr>
            </w:pPr>
          </w:p>
        </w:tc>
        <w:tc>
          <w:tcPr>
            <w:tcW w:w="1080" w:type="dxa"/>
          </w:tcPr>
          <w:p w14:paraId="38C13ABD" w14:textId="72A5FC4D" w:rsidR="00E07B5A" w:rsidRPr="00E07B5A" w:rsidRDefault="00E07B5A" w:rsidP="0033051A">
            <w:pPr>
              <w:spacing w:before="0" w:after="0"/>
              <w:cnfStyle w:val="000000000000" w:firstRow="0" w:lastRow="0" w:firstColumn="0" w:lastColumn="0" w:oddVBand="0" w:evenVBand="0" w:oddHBand="0" w:evenHBand="0" w:firstRowFirstColumn="0" w:firstRowLastColumn="0" w:lastRowFirstColumn="0" w:lastRowLastColumn="0"/>
              <w:rPr>
                <w:rFonts w:cstheme="minorHAnsi"/>
                <w:b w:val="0"/>
              </w:rPr>
            </w:pPr>
            <w:r>
              <w:rPr>
                <w:rFonts w:cstheme="minorHAnsi"/>
                <w:b w:val="0"/>
              </w:rPr>
              <w:t>202</w:t>
            </w:r>
            <w:r w:rsidR="00AC137F">
              <w:rPr>
                <w:rFonts w:cstheme="minorHAnsi"/>
                <w:b w:val="0"/>
              </w:rPr>
              <w:t>2</w:t>
            </w:r>
          </w:p>
        </w:tc>
        <w:tc>
          <w:tcPr>
            <w:tcW w:w="1350" w:type="dxa"/>
          </w:tcPr>
          <w:p w14:paraId="67F73D60" w14:textId="5AE6F0E8" w:rsidR="00E07B5A" w:rsidRPr="00E07B5A" w:rsidRDefault="00A47299"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rPr>
            </w:pPr>
            <w:r>
              <w:rPr>
                <w:rFonts w:cstheme="minorHAnsi"/>
                <w:b w:val="0"/>
              </w:rPr>
              <w:t>0</w:t>
            </w:r>
          </w:p>
        </w:tc>
        <w:tc>
          <w:tcPr>
            <w:tcW w:w="1440" w:type="dxa"/>
          </w:tcPr>
          <w:p w14:paraId="12FA681D" w14:textId="68B4DC5B" w:rsidR="00E07B5A" w:rsidRPr="00E07B5A" w:rsidRDefault="00A47299"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rPr>
            </w:pPr>
            <w:r>
              <w:rPr>
                <w:rFonts w:cstheme="minorHAnsi"/>
                <w:b w:val="0"/>
              </w:rPr>
              <w:t>0</w:t>
            </w:r>
          </w:p>
        </w:tc>
        <w:tc>
          <w:tcPr>
            <w:tcW w:w="1440" w:type="dxa"/>
          </w:tcPr>
          <w:p w14:paraId="2B78EB04" w14:textId="7D76745C" w:rsidR="00E07B5A" w:rsidRPr="00E07B5A" w:rsidRDefault="00A47299"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rPr>
            </w:pPr>
            <w:r>
              <w:rPr>
                <w:rFonts w:cstheme="minorHAnsi"/>
                <w:b w:val="0"/>
              </w:rPr>
              <w:t>0</w:t>
            </w:r>
          </w:p>
        </w:tc>
        <w:tc>
          <w:tcPr>
            <w:tcW w:w="1350" w:type="dxa"/>
          </w:tcPr>
          <w:p w14:paraId="58DCC10F" w14:textId="445ADD71" w:rsidR="00E07B5A" w:rsidRPr="0086121D" w:rsidRDefault="00A47299"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r>
      <w:tr w:rsidR="00E07B5A" w:rsidRPr="007A3571" w14:paraId="2FE5EAE4"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val="restart"/>
          </w:tcPr>
          <w:p w14:paraId="2FBF1DF7" w14:textId="0536384E" w:rsidR="00E07B5A" w:rsidRPr="007E4551" w:rsidRDefault="00E07B5A" w:rsidP="00FF3DA9">
            <w:pPr>
              <w:spacing w:after="0"/>
              <w:jc w:val="center"/>
              <w:rPr>
                <w:rFonts w:ascii="Arial" w:hAnsi="Arial" w:cs="Arial"/>
                <w:bCs/>
              </w:rPr>
            </w:pPr>
            <w:r w:rsidRPr="007E4551">
              <w:rPr>
                <w:rFonts w:ascii="Arial" w:hAnsi="Arial" w:cs="Arial"/>
                <w:bCs/>
              </w:rPr>
              <w:t>Burglary</w:t>
            </w:r>
          </w:p>
        </w:tc>
        <w:tc>
          <w:tcPr>
            <w:tcW w:w="1080" w:type="dxa"/>
          </w:tcPr>
          <w:p w14:paraId="51ED66CB" w14:textId="2788942C" w:rsidR="00E07B5A" w:rsidRPr="00E07B5A" w:rsidRDefault="00E07B5A" w:rsidP="0033051A">
            <w:pPr>
              <w:spacing w:before="0" w:after="0"/>
              <w:cnfStyle w:val="000000000000" w:firstRow="0" w:lastRow="0" w:firstColumn="0" w:lastColumn="0" w:oddVBand="0" w:evenVBand="0" w:oddHBand="0" w:evenHBand="0" w:firstRowFirstColumn="0" w:firstRowLastColumn="0" w:lastRowFirstColumn="0" w:lastRowLastColumn="0"/>
              <w:rPr>
                <w:rFonts w:cstheme="minorHAnsi"/>
                <w:b w:val="0"/>
              </w:rPr>
            </w:pPr>
            <w:r>
              <w:rPr>
                <w:rFonts w:cstheme="minorHAnsi"/>
                <w:b w:val="0"/>
              </w:rPr>
              <w:t>202</w:t>
            </w:r>
            <w:r w:rsidR="00AC137F">
              <w:rPr>
                <w:rFonts w:cstheme="minorHAnsi"/>
                <w:b w:val="0"/>
              </w:rPr>
              <w:t>4</w:t>
            </w:r>
          </w:p>
        </w:tc>
        <w:tc>
          <w:tcPr>
            <w:tcW w:w="1350" w:type="dxa"/>
          </w:tcPr>
          <w:p w14:paraId="1B8D6053" w14:textId="6CEE00CE" w:rsidR="00E07B5A" w:rsidRPr="00E07B5A" w:rsidRDefault="00A47299"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rPr>
            </w:pPr>
            <w:r>
              <w:rPr>
                <w:rFonts w:cstheme="minorHAnsi"/>
                <w:b w:val="0"/>
              </w:rPr>
              <w:t>0</w:t>
            </w:r>
          </w:p>
        </w:tc>
        <w:tc>
          <w:tcPr>
            <w:tcW w:w="1440" w:type="dxa"/>
          </w:tcPr>
          <w:p w14:paraId="19B51D2E" w14:textId="01A1C6FE" w:rsidR="00E07B5A" w:rsidRPr="00E07B5A" w:rsidRDefault="00A47299"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rPr>
            </w:pPr>
            <w:r>
              <w:rPr>
                <w:rFonts w:cstheme="minorHAnsi"/>
                <w:b w:val="0"/>
              </w:rPr>
              <w:t>0</w:t>
            </w:r>
          </w:p>
        </w:tc>
        <w:tc>
          <w:tcPr>
            <w:tcW w:w="1440" w:type="dxa"/>
          </w:tcPr>
          <w:p w14:paraId="542D3D0F" w14:textId="365B9DF8" w:rsidR="00E07B5A" w:rsidRPr="00E07B5A" w:rsidRDefault="00A47299"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rPr>
            </w:pPr>
            <w:r>
              <w:rPr>
                <w:rFonts w:cstheme="minorHAnsi"/>
                <w:b w:val="0"/>
              </w:rPr>
              <w:t>0</w:t>
            </w:r>
          </w:p>
        </w:tc>
        <w:tc>
          <w:tcPr>
            <w:tcW w:w="1350" w:type="dxa"/>
          </w:tcPr>
          <w:p w14:paraId="668C5000" w14:textId="73C80690" w:rsidR="00E07B5A" w:rsidRPr="0086121D" w:rsidRDefault="00A47299"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r>
      <w:tr w:rsidR="00E07B5A" w:rsidRPr="007A3571" w14:paraId="305129F8"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2270ECF8" w14:textId="77777777" w:rsidR="00E07B5A" w:rsidRDefault="00E07B5A" w:rsidP="00FF3DA9">
            <w:pPr>
              <w:spacing w:after="0"/>
              <w:jc w:val="center"/>
              <w:rPr>
                <w:rFonts w:cstheme="minorHAnsi"/>
                <w:bCs/>
              </w:rPr>
            </w:pPr>
          </w:p>
        </w:tc>
        <w:tc>
          <w:tcPr>
            <w:tcW w:w="1080" w:type="dxa"/>
          </w:tcPr>
          <w:p w14:paraId="613FAC26" w14:textId="1DA866AA" w:rsidR="00E07B5A" w:rsidRPr="00E07B5A" w:rsidRDefault="00E07B5A" w:rsidP="0033051A">
            <w:pPr>
              <w:spacing w:before="0" w:after="0"/>
              <w:cnfStyle w:val="000000000000" w:firstRow="0" w:lastRow="0" w:firstColumn="0" w:lastColumn="0" w:oddVBand="0" w:evenVBand="0" w:oddHBand="0" w:evenHBand="0" w:firstRowFirstColumn="0" w:firstRowLastColumn="0" w:lastRowFirstColumn="0" w:lastRowLastColumn="0"/>
              <w:rPr>
                <w:rFonts w:cstheme="minorHAnsi"/>
                <w:b w:val="0"/>
              </w:rPr>
            </w:pPr>
            <w:r>
              <w:rPr>
                <w:rFonts w:cstheme="minorHAnsi"/>
                <w:b w:val="0"/>
              </w:rPr>
              <w:t>202</w:t>
            </w:r>
            <w:r w:rsidR="00AC137F">
              <w:rPr>
                <w:rFonts w:cstheme="minorHAnsi"/>
                <w:b w:val="0"/>
              </w:rPr>
              <w:t>3</w:t>
            </w:r>
          </w:p>
        </w:tc>
        <w:tc>
          <w:tcPr>
            <w:tcW w:w="1350" w:type="dxa"/>
          </w:tcPr>
          <w:p w14:paraId="62BC27A3" w14:textId="5BB0B4F4" w:rsidR="00E07B5A" w:rsidRPr="00E07B5A" w:rsidRDefault="00A47299"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rPr>
            </w:pPr>
            <w:r>
              <w:rPr>
                <w:rFonts w:cstheme="minorHAnsi"/>
                <w:b w:val="0"/>
              </w:rPr>
              <w:t>0</w:t>
            </w:r>
          </w:p>
        </w:tc>
        <w:tc>
          <w:tcPr>
            <w:tcW w:w="1440" w:type="dxa"/>
          </w:tcPr>
          <w:p w14:paraId="67497F64" w14:textId="251ACB2F" w:rsidR="00E07B5A" w:rsidRPr="00E07B5A" w:rsidRDefault="00A47299"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rPr>
            </w:pPr>
            <w:r>
              <w:rPr>
                <w:rFonts w:cstheme="minorHAnsi"/>
                <w:b w:val="0"/>
              </w:rPr>
              <w:t>0</w:t>
            </w:r>
          </w:p>
        </w:tc>
        <w:tc>
          <w:tcPr>
            <w:tcW w:w="1440" w:type="dxa"/>
          </w:tcPr>
          <w:p w14:paraId="09A8FDBE" w14:textId="0FF19C0D" w:rsidR="00E07B5A" w:rsidRPr="00E07B5A" w:rsidRDefault="00A47299"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rPr>
            </w:pPr>
            <w:r>
              <w:rPr>
                <w:rFonts w:cstheme="minorHAnsi"/>
                <w:b w:val="0"/>
              </w:rPr>
              <w:t>0</w:t>
            </w:r>
          </w:p>
        </w:tc>
        <w:tc>
          <w:tcPr>
            <w:tcW w:w="1350" w:type="dxa"/>
          </w:tcPr>
          <w:p w14:paraId="331B1068" w14:textId="42FC4742" w:rsidR="00E07B5A" w:rsidRPr="0086121D" w:rsidRDefault="00A47299"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r>
      <w:tr w:rsidR="00E07B5A" w:rsidRPr="007A3571" w14:paraId="4999F353"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34C3CDCF" w14:textId="77777777" w:rsidR="00E07B5A" w:rsidRDefault="00E07B5A" w:rsidP="00FF3DA9">
            <w:pPr>
              <w:spacing w:after="0"/>
              <w:jc w:val="center"/>
              <w:rPr>
                <w:rFonts w:cstheme="minorHAnsi"/>
                <w:bCs/>
              </w:rPr>
            </w:pPr>
          </w:p>
        </w:tc>
        <w:tc>
          <w:tcPr>
            <w:tcW w:w="1080" w:type="dxa"/>
          </w:tcPr>
          <w:p w14:paraId="56BB5950" w14:textId="5D416F43" w:rsidR="00E07B5A" w:rsidRPr="00E07B5A" w:rsidRDefault="00E07B5A" w:rsidP="0033051A">
            <w:pPr>
              <w:spacing w:before="0" w:after="0"/>
              <w:cnfStyle w:val="000000000000" w:firstRow="0" w:lastRow="0" w:firstColumn="0" w:lastColumn="0" w:oddVBand="0" w:evenVBand="0" w:oddHBand="0" w:evenHBand="0" w:firstRowFirstColumn="0" w:firstRowLastColumn="0" w:lastRowFirstColumn="0" w:lastRowLastColumn="0"/>
              <w:rPr>
                <w:rFonts w:cstheme="minorHAnsi"/>
                <w:b w:val="0"/>
              </w:rPr>
            </w:pPr>
            <w:r>
              <w:rPr>
                <w:rFonts w:cstheme="minorHAnsi"/>
                <w:b w:val="0"/>
              </w:rPr>
              <w:t>202</w:t>
            </w:r>
            <w:r w:rsidR="00AC137F">
              <w:rPr>
                <w:rFonts w:cstheme="minorHAnsi"/>
                <w:b w:val="0"/>
              </w:rPr>
              <w:t>2</w:t>
            </w:r>
          </w:p>
        </w:tc>
        <w:tc>
          <w:tcPr>
            <w:tcW w:w="1350" w:type="dxa"/>
          </w:tcPr>
          <w:p w14:paraId="6C5E271B" w14:textId="63469314" w:rsidR="00E07B5A" w:rsidRPr="00E07B5A" w:rsidRDefault="00A47299"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rPr>
            </w:pPr>
            <w:r>
              <w:rPr>
                <w:rFonts w:cstheme="minorHAnsi"/>
                <w:b w:val="0"/>
              </w:rPr>
              <w:t>0</w:t>
            </w:r>
          </w:p>
        </w:tc>
        <w:tc>
          <w:tcPr>
            <w:tcW w:w="1440" w:type="dxa"/>
          </w:tcPr>
          <w:p w14:paraId="730F16DD" w14:textId="258559E2" w:rsidR="00E07B5A" w:rsidRPr="00E07B5A" w:rsidRDefault="00A47299"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rPr>
            </w:pPr>
            <w:r>
              <w:rPr>
                <w:rFonts w:cstheme="minorHAnsi"/>
                <w:b w:val="0"/>
              </w:rPr>
              <w:t>0</w:t>
            </w:r>
          </w:p>
        </w:tc>
        <w:tc>
          <w:tcPr>
            <w:tcW w:w="1440" w:type="dxa"/>
          </w:tcPr>
          <w:p w14:paraId="24ED1765" w14:textId="07D5F0FF" w:rsidR="00E07B5A" w:rsidRPr="00E07B5A" w:rsidRDefault="00A47299"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rPr>
            </w:pPr>
            <w:r>
              <w:rPr>
                <w:rFonts w:cstheme="minorHAnsi"/>
                <w:b w:val="0"/>
              </w:rPr>
              <w:t>0</w:t>
            </w:r>
          </w:p>
        </w:tc>
        <w:tc>
          <w:tcPr>
            <w:tcW w:w="1350" w:type="dxa"/>
          </w:tcPr>
          <w:p w14:paraId="36A741F4" w14:textId="358B1B76" w:rsidR="00E07B5A" w:rsidRPr="0086121D" w:rsidRDefault="00A47299"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r>
      <w:tr w:rsidR="005E1172" w:rsidRPr="007A3571" w14:paraId="381E70FE"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val="restart"/>
          </w:tcPr>
          <w:p w14:paraId="35106E77" w14:textId="5064565D" w:rsidR="005E1172" w:rsidRPr="007A3571" w:rsidRDefault="005E1172" w:rsidP="00FF3DA9">
            <w:pPr>
              <w:spacing w:after="0"/>
              <w:jc w:val="center"/>
              <w:rPr>
                <w:rFonts w:asciiTheme="minorHAnsi" w:hAnsiTheme="minorHAnsi" w:cstheme="minorHAnsi"/>
                <w:bCs/>
              </w:rPr>
            </w:pPr>
            <w:r>
              <w:rPr>
                <w:rFonts w:asciiTheme="minorHAnsi" w:hAnsiTheme="minorHAnsi" w:cstheme="minorHAnsi"/>
                <w:bCs/>
              </w:rPr>
              <w:t>Arson</w:t>
            </w:r>
          </w:p>
        </w:tc>
        <w:tc>
          <w:tcPr>
            <w:tcW w:w="1080" w:type="dxa"/>
          </w:tcPr>
          <w:p w14:paraId="526A9A5B" w14:textId="350A9DC8" w:rsidR="005E1172" w:rsidRPr="007A3571" w:rsidRDefault="005E1172" w:rsidP="0033051A">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202</w:t>
            </w:r>
            <w:r w:rsidR="00AC137F">
              <w:rPr>
                <w:rFonts w:cstheme="minorHAnsi"/>
                <w:b w:val="0"/>
                <w:bCs/>
              </w:rPr>
              <w:t>4</w:t>
            </w:r>
          </w:p>
        </w:tc>
        <w:tc>
          <w:tcPr>
            <w:tcW w:w="1350" w:type="dxa"/>
          </w:tcPr>
          <w:p w14:paraId="5EB067B4" w14:textId="75FE3600" w:rsidR="005E1172" w:rsidRPr="007A3571" w:rsidRDefault="005E1172"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516DB7F5" w14:textId="7907A56D" w:rsidR="005E1172" w:rsidRPr="007A3571" w:rsidRDefault="005E1172"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793702A0" w14:textId="356237BE" w:rsidR="005E1172" w:rsidRPr="007A3571" w:rsidRDefault="005E1172"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4E6C9F0C" w14:textId="1401324B" w:rsidR="005E1172" w:rsidRPr="0086121D" w:rsidRDefault="005E1172"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86121D">
              <w:rPr>
                <w:rFonts w:cstheme="minorHAnsi"/>
              </w:rPr>
              <w:t>0</w:t>
            </w:r>
          </w:p>
        </w:tc>
      </w:tr>
      <w:tr w:rsidR="005E1172" w:rsidRPr="007A3571" w14:paraId="7A4896C0"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02E18DC1" w14:textId="77777777" w:rsidR="005E1172" w:rsidRPr="007A3571" w:rsidRDefault="005E1172" w:rsidP="0033051A">
            <w:pPr>
              <w:spacing w:before="0" w:after="0"/>
              <w:rPr>
                <w:rFonts w:asciiTheme="minorHAnsi" w:hAnsiTheme="minorHAnsi" w:cstheme="minorHAnsi"/>
                <w:bCs/>
              </w:rPr>
            </w:pPr>
          </w:p>
        </w:tc>
        <w:tc>
          <w:tcPr>
            <w:tcW w:w="1080" w:type="dxa"/>
          </w:tcPr>
          <w:p w14:paraId="2207D18C" w14:textId="73D34066" w:rsidR="005E1172" w:rsidRPr="007A3571" w:rsidRDefault="005E1172" w:rsidP="0033051A">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202</w:t>
            </w:r>
            <w:r w:rsidR="00AC137F">
              <w:rPr>
                <w:rFonts w:cstheme="minorHAnsi"/>
                <w:b w:val="0"/>
                <w:bCs/>
              </w:rPr>
              <w:t>3</w:t>
            </w:r>
          </w:p>
        </w:tc>
        <w:tc>
          <w:tcPr>
            <w:tcW w:w="1350" w:type="dxa"/>
          </w:tcPr>
          <w:p w14:paraId="20FEB6B0" w14:textId="0CF3188D" w:rsidR="005E1172" w:rsidRPr="007A3571" w:rsidRDefault="005E1172"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076C73CA" w14:textId="0A7C1E4D" w:rsidR="005E1172" w:rsidRPr="007A3571" w:rsidRDefault="005E1172"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66A2CAB9" w14:textId="56A33355" w:rsidR="005E1172" w:rsidRPr="007A3571" w:rsidRDefault="005E1172"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0E47F9D8" w14:textId="4DF52908" w:rsidR="005E1172" w:rsidRPr="0086121D" w:rsidRDefault="005E1172"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86121D">
              <w:rPr>
                <w:rFonts w:cstheme="minorHAnsi"/>
              </w:rPr>
              <w:t>0</w:t>
            </w:r>
          </w:p>
        </w:tc>
      </w:tr>
      <w:tr w:rsidR="005E1172" w:rsidRPr="007A3571" w14:paraId="4F4BFA1E"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4DCC484C" w14:textId="77777777" w:rsidR="005E1172" w:rsidRPr="007A3571" w:rsidRDefault="005E1172" w:rsidP="0033051A">
            <w:pPr>
              <w:spacing w:before="0" w:after="0"/>
              <w:rPr>
                <w:rFonts w:asciiTheme="minorHAnsi" w:hAnsiTheme="minorHAnsi" w:cstheme="minorHAnsi"/>
                <w:bCs/>
              </w:rPr>
            </w:pPr>
          </w:p>
        </w:tc>
        <w:tc>
          <w:tcPr>
            <w:tcW w:w="1080" w:type="dxa"/>
          </w:tcPr>
          <w:p w14:paraId="30FE71E3" w14:textId="4E5BFA35" w:rsidR="005E1172" w:rsidRPr="007A3571" w:rsidRDefault="005E1172" w:rsidP="0033051A">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w:t>
            </w:r>
            <w:r w:rsidR="00092EDF">
              <w:rPr>
                <w:rFonts w:cstheme="minorHAnsi"/>
                <w:b w:val="0"/>
                <w:bCs/>
              </w:rPr>
              <w:t>2</w:t>
            </w:r>
            <w:r w:rsidR="00AC137F">
              <w:rPr>
                <w:rFonts w:cstheme="minorHAnsi"/>
                <w:b w:val="0"/>
                <w:bCs/>
              </w:rPr>
              <w:t>2</w:t>
            </w:r>
          </w:p>
        </w:tc>
        <w:tc>
          <w:tcPr>
            <w:tcW w:w="1350" w:type="dxa"/>
          </w:tcPr>
          <w:p w14:paraId="2C63E8FC" w14:textId="5133F9FD" w:rsidR="005E1172" w:rsidRPr="007A3571" w:rsidRDefault="005E1172"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2FAC1082" w14:textId="6BD9DECF" w:rsidR="005E1172" w:rsidRPr="007A3571" w:rsidRDefault="005E1172"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77020DD6" w14:textId="2045A2A3" w:rsidR="005E1172" w:rsidRPr="007A3571" w:rsidRDefault="005E1172"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24D9B6F1" w14:textId="2A7D0F5F" w:rsidR="005E1172" w:rsidRPr="0086121D" w:rsidRDefault="005E1172" w:rsidP="00FF3DA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86121D">
              <w:rPr>
                <w:rFonts w:cstheme="minorHAnsi"/>
              </w:rPr>
              <w:t>0</w:t>
            </w:r>
          </w:p>
        </w:tc>
      </w:tr>
      <w:tr w:rsidR="005E1172" w:rsidRPr="007A3571" w14:paraId="69EA2A1B"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val="restart"/>
          </w:tcPr>
          <w:p w14:paraId="30C71E13" w14:textId="14CDAC45" w:rsidR="005E1172" w:rsidRPr="007A3571" w:rsidRDefault="005E1172" w:rsidP="0086121D">
            <w:pPr>
              <w:spacing w:after="0"/>
              <w:jc w:val="center"/>
              <w:rPr>
                <w:rFonts w:asciiTheme="minorHAnsi" w:hAnsiTheme="minorHAnsi" w:cstheme="minorHAnsi"/>
                <w:bCs/>
              </w:rPr>
            </w:pPr>
            <w:r>
              <w:rPr>
                <w:rFonts w:asciiTheme="minorHAnsi" w:hAnsiTheme="minorHAnsi" w:cstheme="minorHAnsi"/>
                <w:bCs/>
              </w:rPr>
              <w:t>Motor Vehicle Theft</w:t>
            </w:r>
          </w:p>
        </w:tc>
        <w:tc>
          <w:tcPr>
            <w:tcW w:w="1080" w:type="dxa"/>
          </w:tcPr>
          <w:p w14:paraId="61D99C30" w14:textId="7A0B2496" w:rsidR="005E1172" w:rsidRPr="007A3571" w:rsidRDefault="005E1172" w:rsidP="00BC1AE2">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202</w:t>
            </w:r>
            <w:r w:rsidR="00AC137F">
              <w:rPr>
                <w:rFonts w:cstheme="minorHAnsi"/>
                <w:b w:val="0"/>
                <w:bCs/>
              </w:rPr>
              <w:t>4</w:t>
            </w:r>
          </w:p>
        </w:tc>
        <w:tc>
          <w:tcPr>
            <w:tcW w:w="1350" w:type="dxa"/>
          </w:tcPr>
          <w:p w14:paraId="7449BCBE" w14:textId="0A2F0005" w:rsidR="005E1172" w:rsidRPr="007A3571" w:rsidRDefault="005E1172" w:rsidP="0086121D">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231210B7" w14:textId="2066D0BF" w:rsidR="005E1172" w:rsidRPr="007A3571" w:rsidRDefault="005E1172" w:rsidP="0086121D">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071806AA" w14:textId="2362FD64" w:rsidR="005E1172" w:rsidRPr="007A3571" w:rsidRDefault="005E1172" w:rsidP="0086121D">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3FC4547E" w14:textId="279F9C2D" w:rsidR="005E1172" w:rsidRPr="0086121D" w:rsidRDefault="005E1172" w:rsidP="0086121D">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86121D">
              <w:rPr>
                <w:rFonts w:cstheme="minorHAnsi"/>
              </w:rPr>
              <w:t>0</w:t>
            </w:r>
          </w:p>
        </w:tc>
      </w:tr>
      <w:tr w:rsidR="005E1172" w:rsidRPr="007A3571" w14:paraId="688DE774"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575E40D3" w14:textId="77777777" w:rsidR="005E1172" w:rsidRPr="007A3571" w:rsidRDefault="005E1172" w:rsidP="00BC1AE2">
            <w:pPr>
              <w:spacing w:before="0" w:after="0"/>
              <w:rPr>
                <w:rFonts w:asciiTheme="minorHAnsi" w:hAnsiTheme="minorHAnsi" w:cstheme="minorHAnsi"/>
                <w:bCs/>
              </w:rPr>
            </w:pPr>
          </w:p>
        </w:tc>
        <w:tc>
          <w:tcPr>
            <w:tcW w:w="1080" w:type="dxa"/>
          </w:tcPr>
          <w:p w14:paraId="55E9B186" w14:textId="250F621A" w:rsidR="005E1172" w:rsidRPr="007A3571" w:rsidRDefault="005E1172" w:rsidP="00BC1AE2">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202</w:t>
            </w:r>
            <w:r w:rsidR="00AC137F">
              <w:rPr>
                <w:rFonts w:cstheme="minorHAnsi"/>
                <w:b w:val="0"/>
                <w:bCs/>
              </w:rPr>
              <w:t>3</w:t>
            </w:r>
          </w:p>
        </w:tc>
        <w:tc>
          <w:tcPr>
            <w:tcW w:w="1350" w:type="dxa"/>
          </w:tcPr>
          <w:p w14:paraId="014C377A" w14:textId="313742B0" w:rsidR="005E1172" w:rsidRPr="007A3571" w:rsidRDefault="005E1172" w:rsidP="0086121D">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61012334" w14:textId="79E040BF" w:rsidR="005E1172" w:rsidRPr="007A3571" w:rsidRDefault="005E1172" w:rsidP="0086121D">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03B06DB7" w14:textId="2B20CC7C" w:rsidR="005E1172" w:rsidRPr="007A3571" w:rsidRDefault="005E1172" w:rsidP="0086121D">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226DC792" w14:textId="24517682" w:rsidR="005E1172" w:rsidRPr="0086121D" w:rsidRDefault="005E1172" w:rsidP="0086121D">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86121D">
              <w:rPr>
                <w:rFonts w:cstheme="minorHAnsi"/>
              </w:rPr>
              <w:t>0</w:t>
            </w:r>
          </w:p>
        </w:tc>
      </w:tr>
      <w:tr w:rsidR="005E1172" w:rsidRPr="007A3571" w14:paraId="2E832D4A"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26F54EEB" w14:textId="77777777" w:rsidR="005E1172" w:rsidRPr="007A3571" w:rsidRDefault="005E1172" w:rsidP="00BC1AE2">
            <w:pPr>
              <w:spacing w:before="0" w:after="0"/>
              <w:rPr>
                <w:rFonts w:asciiTheme="minorHAnsi" w:hAnsiTheme="minorHAnsi" w:cstheme="minorHAnsi"/>
                <w:bCs/>
              </w:rPr>
            </w:pPr>
          </w:p>
        </w:tc>
        <w:tc>
          <w:tcPr>
            <w:tcW w:w="1080" w:type="dxa"/>
          </w:tcPr>
          <w:p w14:paraId="2BE157ED" w14:textId="7E0C41AA" w:rsidR="005E1172" w:rsidRPr="007A3571" w:rsidRDefault="005E1172" w:rsidP="00BC1AE2">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w:t>
            </w:r>
            <w:r w:rsidR="00625804">
              <w:rPr>
                <w:rFonts w:cstheme="minorHAnsi"/>
                <w:b w:val="0"/>
                <w:bCs/>
              </w:rPr>
              <w:t>2</w:t>
            </w:r>
            <w:r w:rsidR="00AC137F">
              <w:rPr>
                <w:rFonts w:cstheme="minorHAnsi"/>
                <w:b w:val="0"/>
                <w:bCs/>
              </w:rPr>
              <w:t>3</w:t>
            </w:r>
          </w:p>
        </w:tc>
        <w:tc>
          <w:tcPr>
            <w:tcW w:w="1350" w:type="dxa"/>
          </w:tcPr>
          <w:p w14:paraId="7EF6EEAB" w14:textId="643C1B50" w:rsidR="005E1172" w:rsidRPr="007A3571" w:rsidRDefault="005E1172" w:rsidP="0086121D">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42E8865E" w14:textId="5C4A12E1" w:rsidR="005E1172" w:rsidRPr="007A3571" w:rsidRDefault="005E1172" w:rsidP="0086121D">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6D778C60" w14:textId="20C332A8" w:rsidR="005E1172" w:rsidRPr="007A3571" w:rsidRDefault="005E1172" w:rsidP="0086121D">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1E5142FA" w14:textId="7B7B269A" w:rsidR="005E1172" w:rsidRPr="0086121D" w:rsidRDefault="005E1172" w:rsidP="0086121D">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86121D">
              <w:rPr>
                <w:rFonts w:cstheme="minorHAnsi"/>
              </w:rPr>
              <w:t>0</w:t>
            </w:r>
          </w:p>
        </w:tc>
      </w:tr>
      <w:tr w:rsidR="005E1172" w:rsidRPr="004878F8" w14:paraId="7BFF5D55"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val="restart"/>
          </w:tcPr>
          <w:p w14:paraId="69514242" w14:textId="47F1F416" w:rsidR="005E1172" w:rsidRPr="004878F8" w:rsidRDefault="005E1172" w:rsidP="000C4B98">
            <w:pPr>
              <w:spacing w:after="0"/>
              <w:jc w:val="center"/>
              <w:rPr>
                <w:rFonts w:asciiTheme="minorHAnsi" w:hAnsiTheme="minorHAnsi" w:cstheme="minorHAnsi"/>
                <w:bCs/>
              </w:rPr>
            </w:pPr>
            <w:r w:rsidRPr="004878F8">
              <w:rPr>
                <w:rFonts w:asciiTheme="minorHAnsi" w:hAnsiTheme="minorHAnsi" w:cstheme="minorHAnsi"/>
                <w:bCs/>
              </w:rPr>
              <w:t>Domestic Violence</w:t>
            </w:r>
          </w:p>
        </w:tc>
        <w:tc>
          <w:tcPr>
            <w:tcW w:w="1080" w:type="dxa"/>
          </w:tcPr>
          <w:p w14:paraId="6D67CFF1" w14:textId="2EF4A19A" w:rsidR="005E1172" w:rsidRPr="004878F8" w:rsidRDefault="005E1172" w:rsidP="000C4B98">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sidRPr="004878F8">
              <w:rPr>
                <w:rFonts w:cstheme="minorHAnsi"/>
                <w:b w:val="0"/>
                <w:bCs/>
              </w:rPr>
              <w:t>202</w:t>
            </w:r>
            <w:r w:rsidR="00AC137F">
              <w:rPr>
                <w:rFonts w:cstheme="minorHAnsi"/>
                <w:b w:val="0"/>
                <w:bCs/>
              </w:rPr>
              <w:t>4</w:t>
            </w:r>
          </w:p>
        </w:tc>
        <w:tc>
          <w:tcPr>
            <w:tcW w:w="1350" w:type="dxa"/>
          </w:tcPr>
          <w:p w14:paraId="42A134F4" w14:textId="071602D1" w:rsidR="005E1172" w:rsidRPr="004878F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740EFBF8" w14:textId="50BC228A" w:rsidR="005E1172" w:rsidRPr="004878F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7DE55C24" w14:textId="5C85D695" w:rsidR="005E1172" w:rsidRPr="004878F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630CC571" w14:textId="1585F2CA" w:rsidR="005E1172" w:rsidRPr="000C4B9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0C4B98">
              <w:rPr>
                <w:rFonts w:cstheme="minorHAnsi"/>
              </w:rPr>
              <w:t>0</w:t>
            </w:r>
          </w:p>
        </w:tc>
      </w:tr>
      <w:tr w:rsidR="005E1172" w:rsidRPr="004878F8" w14:paraId="2991D8EC"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1A6FF785" w14:textId="77777777" w:rsidR="005E1172" w:rsidRPr="004878F8" w:rsidRDefault="005E1172" w:rsidP="00057B69">
            <w:pPr>
              <w:spacing w:before="0" w:after="0"/>
              <w:jc w:val="center"/>
              <w:rPr>
                <w:rFonts w:asciiTheme="minorHAnsi" w:hAnsiTheme="minorHAnsi" w:cstheme="minorHAnsi"/>
                <w:bCs/>
              </w:rPr>
            </w:pPr>
          </w:p>
        </w:tc>
        <w:tc>
          <w:tcPr>
            <w:tcW w:w="1080" w:type="dxa"/>
          </w:tcPr>
          <w:p w14:paraId="547756DF" w14:textId="64BA0E2A" w:rsidR="005E1172" w:rsidRPr="004878F8" w:rsidRDefault="005E1172" w:rsidP="000C4B98">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202</w:t>
            </w:r>
            <w:r w:rsidR="00AC137F">
              <w:rPr>
                <w:rFonts w:cstheme="minorHAnsi"/>
                <w:b w:val="0"/>
                <w:bCs/>
              </w:rPr>
              <w:t>3</w:t>
            </w:r>
          </w:p>
        </w:tc>
        <w:tc>
          <w:tcPr>
            <w:tcW w:w="1350" w:type="dxa"/>
          </w:tcPr>
          <w:p w14:paraId="014C93A4" w14:textId="4EBFEEFF" w:rsidR="005E1172" w:rsidRPr="004878F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37C4E38C" w14:textId="2BAD19E6" w:rsidR="005E1172" w:rsidRPr="004878F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175A52E5" w14:textId="2AC74ABF" w:rsidR="005E1172" w:rsidRPr="004878F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7F2AD748" w14:textId="3A8B5216" w:rsidR="005E1172" w:rsidRPr="000C4B9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0C4B98">
              <w:rPr>
                <w:rFonts w:cstheme="minorHAnsi"/>
              </w:rPr>
              <w:t>0</w:t>
            </w:r>
          </w:p>
        </w:tc>
      </w:tr>
      <w:tr w:rsidR="005E1172" w:rsidRPr="004878F8" w14:paraId="3A7E8735"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7A66B7A8" w14:textId="77777777" w:rsidR="005E1172" w:rsidRPr="004878F8" w:rsidRDefault="005E1172" w:rsidP="00057B69">
            <w:pPr>
              <w:spacing w:before="0" w:after="0"/>
              <w:jc w:val="center"/>
              <w:rPr>
                <w:rFonts w:asciiTheme="minorHAnsi" w:hAnsiTheme="minorHAnsi" w:cstheme="minorHAnsi"/>
                <w:bCs/>
              </w:rPr>
            </w:pPr>
          </w:p>
        </w:tc>
        <w:tc>
          <w:tcPr>
            <w:tcW w:w="1080" w:type="dxa"/>
          </w:tcPr>
          <w:p w14:paraId="51A091AE" w14:textId="2E41307F" w:rsidR="005E1172" w:rsidRPr="004878F8" w:rsidRDefault="005E1172" w:rsidP="000C4B98">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w:t>
            </w:r>
            <w:r w:rsidR="00625804">
              <w:rPr>
                <w:rFonts w:cstheme="minorHAnsi"/>
                <w:b w:val="0"/>
                <w:bCs/>
              </w:rPr>
              <w:t>2</w:t>
            </w:r>
            <w:r w:rsidR="00AC137F">
              <w:rPr>
                <w:rFonts w:cstheme="minorHAnsi"/>
                <w:b w:val="0"/>
                <w:bCs/>
              </w:rPr>
              <w:t>2</w:t>
            </w:r>
          </w:p>
        </w:tc>
        <w:tc>
          <w:tcPr>
            <w:tcW w:w="1350" w:type="dxa"/>
          </w:tcPr>
          <w:p w14:paraId="1801A9F0" w14:textId="0DD8E186" w:rsidR="005E1172" w:rsidRPr="004878F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60D4CAE6" w14:textId="309B1AFF" w:rsidR="005E1172" w:rsidRPr="004878F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5E78D0D7" w14:textId="49677C08" w:rsidR="005E1172" w:rsidRPr="004878F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5BF0A889" w14:textId="220E1F1E" w:rsidR="005E1172" w:rsidRPr="000C4B9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0C4B98">
              <w:rPr>
                <w:rFonts w:cstheme="minorHAnsi"/>
              </w:rPr>
              <w:t>0</w:t>
            </w:r>
          </w:p>
        </w:tc>
      </w:tr>
      <w:tr w:rsidR="005E1172" w:rsidRPr="004878F8" w14:paraId="163AE874"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val="restart"/>
          </w:tcPr>
          <w:p w14:paraId="133961AE" w14:textId="1BCF2FD4" w:rsidR="005E1172" w:rsidRPr="004878F8" w:rsidRDefault="005E1172" w:rsidP="008611DE">
            <w:pPr>
              <w:spacing w:after="0"/>
              <w:jc w:val="center"/>
              <w:rPr>
                <w:rFonts w:asciiTheme="minorHAnsi" w:hAnsiTheme="minorHAnsi" w:cstheme="minorHAnsi"/>
                <w:bCs/>
              </w:rPr>
            </w:pPr>
            <w:r>
              <w:rPr>
                <w:rFonts w:asciiTheme="minorHAnsi" w:hAnsiTheme="minorHAnsi" w:cstheme="minorHAnsi"/>
                <w:bCs/>
              </w:rPr>
              <w:t>Dating Violence</w:t>
            </w:r>
          </w:p>
        </w:tc>
        <w:tc>
          <w:tcPr>
            <w:tcW w:w="1080" w:type="dxa"/>
          </w:tcPr>
          <w:p w14:paraId="1B6505A3" w14:textId="6ED7E303" w:rsidR="005E1172" w:rsidRPr="004878F8" w:rsidRDefault="005E1172" w:rsidP="000C4B98">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202</w:t>
            </w:r>
            <w:r w:rsidR="00AC137F">
              <w:rPr>
                <w:rFonts w:cstheme="minorHAnsi"/>
                <w:b w:val="0"/>
                <w:bCs/>
              </w:rPr>
              <w:t>4</w:t>
            </w:r>
          </w:p>
        </w:tc>
        <w:tc>
          <w:tcPr>
            <w:tcW w:w="1350" w:type="dxa"/>
          </w:tcPr>
          <w:p w14:paraId="0D960540" w14:textId="2D3C1473" w:rsidR="005E1172" w:rsidRPr="004878F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69D7F34F" w14:textId="334BA02C" w:rsidR="005E1172" w:rsidRPr="004878F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1C9E00FB" w14:textId="774C8349" w:rsidR="005E1172" w:rsidRPr="004878F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74986A82" w14:textId="4D55766A" w:rsidR="005E1172" w:rsidRPr="000C4B9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r>
      <w:tr w:rsidR="005E1172" w:rsidRPr="004878F8" w14:paraId="53502455"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35A57D19" w14:textId="77777777" w:rsidR="005E1172" w:rsidRPr="004878F8" w:rsidRDefault="005E1172" w:rsidP="00057B69">
            <w:pPr>
              <w:spacing w:before="0" w:after="0"/>
              <w:jc w:val="center"/>
              <w:rPr>
                <w:rFonts w:asciiTheme="minorHAnsi" w:hAnsiTheme="minorHAnsi" w:cstheme="minorHAnsi"/>
                <w:bCs/>
              </w:rPr>
            </w:pPr>
          </w:p>
        </w:tc>
        <w:tc>
          <w:tcPr>
            <w:tcW w:w="1080" w:type="dxa"/>
          </w:tcPr>
          <w:p w14:paraId="28BD07B1" w14:textId="33FFDE2F" w:rsidR="005E1172" w:rsidRPr="004878F8" w:rsidRDefault="005E1172" w:rsidP="000C4B98">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202</w:t>
            </w:r>
            <w:r w:rsidR="00AC137F">
              <w:rPr>
                <w:rFonts w:cstheme="minorHAnsi"/>
                <w:b w:val="0"/>
                <w:bCs/>
              </w:rPr>
              <w:t>3</w:t>
            </w:r>
          </w:p>
        </w:tc>
        <w:tc>
          <w:tcPr>
            <w:tcW w:w="1350" w:type="dxa"/>
          </w:tcPr>
          <w:p w14:paraId="76DCE272" w14:textId="62AC93C0" w:rsidR="005E1172" w:rsidRPr="004878F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6ED6C4F8" w14:textId="3A800B60" w:rsidR="005E1172" w:rsidRPr="004878F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404F5B86" w14:textId="5D41357E" w:rsidR="005E1172" w:rsidRPr="004878F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3F770037" w14:textId="29AE17E3" w:rsidR="005E1172" w:rsidRPr="000C4B9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r>
      <w:tr w:rsidR="005E1172" w:rsidRPr="004878F8" w14:paraId="6EF021D0"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021ED7BC" w14:textId="77777777" w:rsidR="005E1172" w:rsidRPr="004878F8" w:rsidRDefault="005E1172" w:rsidP="00057B69">
            <w:pPr>
              <w:spacing w:before="0" w:after="0"/>
              <w:jc w:val="center"/>
              <w:rPr>
                <w:rFonts w:asciiTheme="minorHAnsi" w:hAnsiTheme="minorHAnsi" w:cstheme="minorHAnsi"/>
                <w:bCs/>
              </w:rPr>
            </w:pPr>
          </w:p>
        </w:tc>
        <w:tc>
          <w:tcPr>
            <w:tcW w:w="1080" w:type="dxa"/>
          </w:tcPr>
          <w:p w14:paraId="7447099B" w14:textId="42CABC25" w:rsidR="005E1172" w:rsidRPr="004878F8" w:rsidRDefault="005E1172" w:rsidP="000C4B98">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w:t>
            </w:r>
            <w:r w:rsidR="00093938">
              <w:rPr>
                <w:rFonts w:cstheme="minorHAnsi"/>
                <w:b w:val="0"/>
                <w:bCs/>
              </w:rPr>
              <w:t>2</w:t>
            </w:r>
            <w:r w:rsidR="00AC137F">
              <w:rPr>
                <w:rFonts w:cstheme="minorHAnsi"/>
                <w:b w:val="0"/>
                <w:bCs/>
              </w:rPr>
              <w:t>2</w:t>
            </w:r>
          </w:p>
        </w:tc>
        <w:tc>
          <w:tcPr>
            <w:tcW w:w="1350" w:type="dxa"/>
          </w:tcPr>
          <w:p w14:paraId="644875FF" w14:textId="16D735A3" w:rsidR="005E1172" w:rsidRPr="004878F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192831C9" w14:textId="55D6DC79" w:rsidR="005E1172" w:rsidRPr="004878F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360AADBC" w14:textId="2ED4F030" w:rsidR="005E1172" w:rsidRPr="004878F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52B7C43C" w14:textId="3A0F404C" w:rsidR="005E1172" w:rsidRPr="000C4B9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r>
      <w:tr w:rsidR="005E1172" w:rsidRPr="004878F8" w14:paraId="4DB5A915"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val="restart"/>
          </w:tcPr>
          <w:p w14:paraId="6362698E" w14:textId="06372ECE" w:rsidR="005E1172" w:rsidRPr="004878F8" w:rsidRDefault="005E1172" w:rsidP="007D5164">
            <w:pPr>
              <w:spacing w:after="0"/>
              <w:jc w:val="center"/>
              <w:rPr>
                <w:rFonts w:asciiTheme="minorHAnsi" w:hAnsiTheme="minorHAnsi" w:cstheme="minorHAnsi"/>
                <w:bCs/>
              </w:rPr>
            </w:pPr>
            <w:r>
              <w:rPr>
                <w:rFonts w:asciiTheme="minorHAnsi" w:hAnsiTheme="minorHAnsi" w:cstheme="minorHAnsi"/>
                <w:bCs/>
              </w:rPr>
              <w:t>Stalking</w:t>
            </w:r>
          </w:p>
        </w:tc>
        <w:tc>
          <w:tcPr>
            <w:tcW w:w="1080" w:type="dxa"/>
          </w:tcPr>
          <w:p w14:paraId="51785DCD" w14:textId="0D286F8E" w:rsidR="005E1172" w:rsidRPr="004878F8" w:rsidRDefault="005E1172" w:rsidP="000C4B98">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202</w:t>
            </w:r>
            <w:r w:rsidR="00AC137F">
              <w:rPr>
                <w:rFonts w:cstheme="minorHAnsi"/>
                <w:b w:val="0"/>
                <w:bCs/>
              </w:rPr>
              <w:t>4</w:t>
            </w:r>
          </w:p>
        </w:tc>
        <w:tc>
          <w:tcPr>
            <w:tcW w:w="1350" w:type="dxa"/>
          </w:tcPr>
          <w:p w14:paraId="11B36CEC" w14:textId="0CA50159" w:rsidR="005E1172" w:rsidRPr="004878F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116482FF" w14:textId="4F9B00DD" w:rsidR="005E1172" w:rsidRPr="004878F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580223D0" w14:textId="087CEB04" w:rsidR="005E1172" w:rsidRPr="004878F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6524BEB9" w14:textId="3B50ABEE" w:rsidR="005E1172" w:rsidRPr="000C4B9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r>
      <w:tr w:rsidR="005E1172" w:rsidRPr="004878F8" w14:paraId="44175E47"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0D363DB6" w14:textId="77777777" w:rsidR="005E1172" w:rsidRPr="004878F8" w:rsidRDefault="005E1172" w:rsidP="00057B69">
            <w:pPr>
              <w:spacing w:before="0" w:after="0"/>
              <w:jc w:val="center"/>
              <w:rPr>
                <w:rFonts w:asciiTheme="minorHAnsi" w:hAnsiTheme="minorHAnsi" w:cstheme="minorHAnsi"/>
                <w:bCs/>
              </w:rPr>
            </w:pPr>
          </w:p>
        </w:tc>
        <w:tc>
          <w:tcPr>
            <w:tcW w:w="1080" w:type="dxa"/>
          </w:tcPr>
          <w:p w14:paraId="74EA1D58" w14:textId="04AE6735" w:rsidR="005E1172" w:rsidRPr="004878F8" w:rsidRDefault="005E1172" w:rsidP="000C4B98">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202</w:t>
            </w:r>
            <w:r w:rsidR="00AC137F">
              <w:rPr>
                <w:rFonts w:cstheme="minorHAnsi"/>
                <w:b w:val="0"/>
                <w:bCs/>
              </w:rPr>
              <w:t>3</w:t>
            </w:r>
          </w:p>
        </w:tc>
        <w:tc>
          <w:tcPr>
            <w:tcW w:w="1350" w:type="dxa"/>
          </w:tcPr>
          <w:p w14:paraId="5474BBF1" w14:textId="20E09B23" w:rsidR="005E1172" w:rsidRPr="004878F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4630BA60" w14:textId="623C873F" w:rsidR="005E1172" w:rsidRPr="004878F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566AD0F6" w14:textId="471D6E01" w:rsidR="005E1172" w:rsidRPr="004878F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5ADF5045" w14:textId="4F11E857" w:rsidR="005E1172" w:rsidRPr="000C4B9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r>
      <w:tr w:rsidR="005E1172" w:rsidRPr="004878F8" w14:paraId="0E0E0810"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56563714" w14:textId="77777777" w:rsidR="005E1172" w:rsidRPr="004878F8" w:rsidRDefault="005E1172" w:rsidP="00057B69">
            <w:pPr>
              <w:spacing w:before="0" w:after="0"/>
              <w:jc w:val="center"/>
              <w:rPr>
                <w:rFonts w:asciiTheme="minorHAnsi" w:hAnsiTheme="minorHAnsi" w:cstheme="minorHAnsi"/>
                <w:bCs/>
              </w:rPr>
            </w:pPr>
          </w:p>
        </w:tc>
        <w:tc>
          <w:tcPr>
            <w:tcW w:w="1080" w:type="dxa"/>
          </w:tcPr>
          <w:p w14:paraId="448BE051" w14:textId="4B13FDEE" w:rsidR="005E1172" w:rsidRPr="004878F8" w:rsidRDefault="005E1172" w:rsidP="000C4B98">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20</w:t>
            </w:r>
            <w:r w:rsidR="00093938">
              <w:rPr>
                <w:rFonts w:cstheme="minorHAnsi"/>
                <w:b w:val="0"/>
                <w:bCs/>
              </w:rPr>
              <w:t>2</w:t>
            </w:r>
            <w:r w:rsidR="00AC137F">
              <w:rPr>
                <w:rFonts w:cstheme="minorHAnsi"/>
                <w:b w:val="0"/>
                <w:bCs/>
              </w:rPr>
              <w:t>2</w:t>
            </w:r>
          </w:p>
        </w:tc>
        <w:tc>
          <w:tcPr>
            <w:tcW w:w="1350" w:type="dxa"/>
          </w:tcPr>
          <w:p w14:paraId="45296C66" w14:textId="7D0B327C" w:rsidR="005E1172" w:rsidRPr="004878F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1A75892E" w14:textId="6495B51A" w:rsidR="005E1172" w:rsidRPr="004878F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440" w:type="dxa"/>
          </w:tcPr>
          <w:p w14:paraId="2A1C76E4" w14:textId="5E5197E3" w:rsidR="005E1172" w:rsidRPr="004878F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0</w:t>
            </w:r>
          </w:p>
        </w:tc>
        <w:tc>
          <w:tcPr>
            <w:tcW w:w="1350" w:type="dxa"/>
          </w:tcPr>
          <w:p w14:paraId="2109BFC1" w14:textId="7B3CB973" w:rsidR="005E1172" w:rsidRPr="000C4B98" w:rsidRDefault="005E1172" w:rsidP="00057B69">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r>
    </w:tbl>
    <w:p w14:paraId="2A1DF3A7" w14:textId="5189B3C7" w:rsidR="008F6650" w:rsidRPr="0019166E" w:rsidRDefault="0019166E" w:rsidP="00603615">
      <w:pPr>
        <w:rPr>
          <w:rFonts w:cstheme="minorHAnsi"/>
          <w:bCs/>
          <w:sz w:val="20"/>
          <w:szCs w:val="20"/>
        </w:rPr>
      </w:pPr>
      <w:r w:rsidRPr="0019166E">
        <w:rPr>
          <w:rFonts w:cstheme="minorHAnsi"/>
          <w:bCs/>
          <w:sz w:val="16"/>
          <w:szCs w:val="16"/>
        </w:rPr>
        <w:t>*Student Housing Statistics are a subset of the On-Campus geography category statistics</w:t>
      </w:r>
      <w:r>
        <w:rPr>
          <w:rFonts w:cstheme="minorHAnsi"/>
          <w:bCs/>
          <w:sz w:val="20"/>
          <w:szCs w:val="20"/>
        </w:rPr>
        <w:t>.</w:t>
      </w:r>
    </w:p>
    <w:p w14:paraId="43AE5BC2" w14:textId="36A2B01B" w:rsidR="00C31208" w:rsidRPr="007A3157" w:rsidRDefault="004478EE" w:rsidP="00603615">
      <w:pPr>
        <w:rPr>
          <w:color w:val="0072C6" w:themeColor="accent1"/>
          <w:sz w:val="28"/>
          <w:szCs w:val="28"/>
        </w:rPr>
      </w:pPr>
      <w:r w:rsidRPr="007A3157">
        <w:rPr>
          <w:color w:val="0072C6" w:themeColor="accent1"/>
          <w:sz w:val="28"/>
          <w:szCs w:val="28"/>
        </w:rPr>
        <w:t>Clery Act Arrests and Disciplinary Referrals</w:t>
      </w:r>
    </w:p>
    <w:tbl>
      <w:tblPr>
        <w:tblStyle w:val="BusinessPaper"/>
        <w:tblW w:w="0" w:type="auto"/>
        <w:tblLayout w:type="fixed"/>
        <w:tblLook w:val="04A0" w:firstRow="1" w:lastRow="0" w:firstColumn="1" w:lastColumn="0" w:noHBand="0" w:noVBand="1"/>
      </w:tblPr>
      <w:tblGrid>
        <w:gridCol w:w="3240"/>
        <w:gridCol w:w="1080"/>
        <w:gridCol w:w="1350"/>
        <w:gridCol w:w="1440"/>
        <w:gridCol w:w="1440"/>
        <w:gridCol w:w="1350"/>
      </w:tblGrid>
      <w:tr w:rsidR="005E1172" w14:paraId="09E26AB5" w14:textId="77777777" w:rsidTr="00B927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40" w:type="dxa"/>
          </w:tcPr>
          <w:p w14:paraId="622702BD" w14:textId="3F5C09E9" w:rsidR="005E1172" w:rsidRPr="00E426E1" w:rsidRDefault="005E1172" w:rsidP="00550E8E">
            <w:pPr>
              <w:jc w:val="center"/>
              <w:rPr>
                <w:rFonts w:asciiTheme="minorHAnsi" w:hAnsiTheme="minorHAnsi" w:cstheme="minorHAnsi"/>
                <w:color w:val="FDF9F7" w:themeColor="background2"/>
                <w:sz w:val="24"/>
              </w:rPr>
            </w:pPr>
            <w:r>
              <w:rPr>
                <w:rFonts w:asciiTheme="minorHAnsi" w:hAnsiTheme="minorHAnsi" w:cstheme="minorHAnsi"/>
                <w:color w:val="FDF9F7" w:themeColor="background2"/>
                <w:sz w:val="24"/>
              </w:rPr>
              <w:t>Offense</w:t>
            </w:r>
          </w:p>
        </w:tc>
        <w:tc>
          <w:tcPr>
            <w:tcW w:w="1080" w:type="dxa"/>
          </w:tcPr>
          <w:p w14:paraId="0DA0EE25" w14:textId="381B9253" w:rsidR="005E1172" w:rsidRPr="00E426E1" w:rsidRDefault="005E1172" w:rsidP="0073022F">
            <w:pPr>
              <w:cnfStyle w:val="100000000000" w:firstRow="1" w:lastRow="0" w:firstColumn="0" w:lastColumn="0" w:oddVBand="0" w:evenVBand="0" w:oddHBand="0" w:evenHBand="0" w:firstRowFirstColumn="0" w:firstRowLastColumn="0" w:lastRowFirstColumn="0" w:lastRowLastColumn="0"/>
              <w:rPr>
                <w:rFonts w:cstheme="minorHAnsi"/>
                <w:color w:val="FDF9F7" w:themeColor="background2"/>
                <w:sz w:val="24"/>
              </w:rPr>
            </w:pPr>
            <w:r>
              <w:rPr>
                <w:rFonts w:cstheme="minorHAnsi"/>
                <w:color w:val="FDF9F7" w:themeColor="background2"/>
                <w:sz w:val="24"/>
              </w:rPr>
              <w:t>Year</w:t>
            </w:r>
          </w:p>
        </w:tc>
        <w:tc>
          <w:tcPr>
            <w:tcW w:w="1350" w:type="dxa"/>
          </w:tcPr>
          <w:p w14:paraId="71DCC0FA" w14:textId="104FB4BA" w:rsidR="005E1172" w:rsidRPr="00E426E1" w:rsidRDefault="005E1172" w:rsidP="0073022F">
            <w:pPr>
              <w:cnfStyle w:val="100000000000" w:firstRow="1" w:lastRow="0" w:firstColumn="0" w:lastColumn="0" w:oddVBand="0" w:evenVBand="0" w:oddHBand="0" w:evenHBand="0" w:firstRowFirstColumn="0" w:firstRowLastColumn="0" w:lastRowFirstColumn="0" w:lastRowLastColumn="0"/>
              <w:rPr>
                <w:rFonts w:cstheme="minorHAnsi"/>
                <w:color w:val="FDF9F7" w:themeColor="background2"/>
                <w:sz w:val="24"/>
              </w:rPr>
            </w:pPr>
            <w:r>
              <w:rPr>
                <w:rFonts w:cstheme="minorHAnsi"/>
                <w:color w:val="FDF9F7" w:themeColor="background2"/>
                <w:sz w:val="24"/>
              </w:rPr>
              <w:t>On-Campus</w:t>
            </w:r>
          </w:p>
        </w:tc>
        <w:tc>
          <w:tcPr>
            <w:tcW w:w="1440" w:type="dxa"/>
          </w:tcPr>
          <w:p w14:paraId="1A4DB0DC" w14:textId="0382581C" w:rsidR="005E1172" w:rsidRPr="00E426E1" w:rsidRDefault="005E1172" w:rsidP="0073022F">
            <w:pPr>
              <w:cnfStyle w:val="100000000000" w:firstRow="1" w:lastRow="0" w:firstColumn="0" w:lastColumn="0" w:oddVBand="0" w:evenVBand="0" w:oddHBand="0" w:evenHBand="0" w:firstRowFirstColumn="0" w:firstRowLastColumn="0" w:lastRowFirstColumn="0" w:lastRowLastColumn="0"/>
              <w:rPr>
                <w:rFonts w:cstheme="minorHAnsi"/>
                <w:color w:val="FDF9F7" w:themeColor="background2"/>
                <w:sz w:val="24"/>
              </w:rPr>
            </w:pPr>
            <w:r>
              <w:rPr>
                <w:rFonts w:cstheme="minorHAnsi"/>
                <w:color w:val="FDF9F7" w:themeColor="background2"/>
                <w:sz w:val="24"/>
              </w:rPr>
              <w:t>Non-Campus</w:t>
            </w:r>
          </w:p>
        </w:tc>
        <w:tc>
          <w:tcPr>
            <w:tcW w:w="1440" w:type="dxa"/>
          </w:tcPr>
          <w:p w14:paraId="3186ACB5" w14:textId="7D752872" w:rsidR="005E1172" w:rsidRPr="00E426E1" w:rsidRDefault="005E1172" w:rsidP="0073022F">
            <w:pPr>
              <w:cnfStyle w:val="100000000000" w:firstRow="1" w:lastRow="0" w:firstColumn="0" w:lastColumn="0" w:oddVBand="0" w:evenVBand="0" w:oddHBand="0" w:evenHBand="0" w:firstRowFirstColumn="0" w:firstRowLastColumn="0" w:lastRowFirstColumn="0" w:lastRowLastColumn="0"/>
              <w:rPr>
                <w:rFonts w:cstheme="minorHAnsi"/>
                <w:color w:val="FDF9F7" w:themeColor="background2"/>
                <w:sz w:val="24"/>
              </w:rPr>
            </w:pPr>
            <w:r>
              <w:rPr>
                <w:rFonts w:cstheme="minorHAnsi"/>
                <w:color w:val="FDF9F7" w:themeColor="background2"/>
                <w:sz w:val="24"/>
              </w:rPr>
              <w:t>Public Property</w:t>
            </w:r>
          </w:p>
        </w:tc>
        <w:tc>
          <w:tcPr>
            <w:tcW w:w="1350" w:type="dxa"/>
          </w:tcPr>
          <w:p w14:paraId="169C6BDB" w14:textId="1378DEF9" w:rsidR="005E1172" w:rsidRPr="00E426E1" w:rsidRDefault="005E1172" w:rsidP="0073022F">
            <w:pPr>
              <w:cnfStyle w:val="100000000000" w:firstRow="1" w:lastRow="0" w:firstColumn="0" w:lastColumn="0" w:oddVBand="0" w:evenVBand="0" w:oddHBand="0" w:evenHBand="0" w:firstRowFirstColumn="0" w:firstRowLastColumn="0" w:lastRowFirstColumn="0" w:lastRowLastColumn="0"/>
              <w:rPr>
                <w:rFonts w:cstheme="minorHAnsi"/>
                <w:color w:val="FDF9F7" w:themeColor="background2"/>
                <w:sz w:val="24"/>
              </w:rPr>
            </w:pPr>
            <w:r>
              <w:rPr>
                <w:rFonts w:cstheme="minorHAnsi"/>
                <w:color w:val="FDF9F7" w:themeColor="background2"/>
                <w:sz w:val="24"/>
              </w:rPr>
              <w:t>Total</w:t>
            </w:r>
          </w:p>
        </w:tc>
      </w:tr>
      <w:tr w:rsidR="005E1172" w14:paraId="6E8693FB"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val="restart"/>
          </w:tcPr>
          <w:p w14:paraId="4E24536E" w14:textId="31325CDE" w:rsidR="005E1172" w:rsidRPr="00AB440E" w:rsidRDefault="005E1172" w:rsidP="00196162">
            <w:pPr>
              <w:spacing w:after="120"/>
              <w:jc w:val="center"/>
              <w:rPr>
                <w:rFonts w:asciiTheme="minorHAnsi" w:hAnsiTheme="minorHAnsi" w:cstheme="minorHAnsi"/>
                <w:color w:val="7F7F7F" w:themeColor="text1" w:themeTint="80"/>
              </w:rPr>
            </w:pPr>
            <w:r w:rsidRPr="00AB440E">
              <w:rPr>
                <w:rFonts w:asciiTheme="minorHAnsi" w:hAnsiTheme="minorHAnsi" w:cstheme="minorHAnsi"/>
                <w:color w:val="7F7F7F" w:themeColor="text1" w:themeTint="80"/>
              </w:rPr>
              <w:t>Liquor Law Violations Arrests</w:t>
            </w:r>
          </w:p>
        </w:tc>
        <w:tc>
          <w:tcPr>
            <w:tcW w:w="1080" w:type="dxa"/>
          </w:tcPr>
          <w:p w14:paraId="62A18D35" w14:textId="29715620" w:rsidR="005E1172" w:rsidRPr="00AB440E" w:rsidRDefault="005E1172" w:rsidP="00FE7FA3">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color w:val="7F7F7F" w:themeColor="text1" w:themeTint="80"/>
              </w:rPr>
            </w:pPr>
            <w:r w:rsidRPr="00AB440E">
              <w:rPr>
                <w:rFonts w:cstheme="minorHAnsi"/>
                <w:b w:val="0"/>
                <w:bCs/>
                <w:color w:val="7F7F7F" w:themeColor="text1" w:themeTint="80"/>
              </w:rPr>
              <w:t>202</w:t>
            </w:r>
            <w:r w:rsidR="00AC137F">
              <w:rPr>
                <w:rFonts w:cstheme="minorHAnsi"/>
                <w:b w:val="0"/>
                <w:bCs/>
                <w:color w:val="7F7F7F" w:themeColor="text1" w:themeTint="80"/>
              </w:rPr>
              <w:t>4</w:t>
            </w:r>
          </w:p>
        </w:tc>
        <w:tc>
          <w:tcPr>
            <w:tcW w:w="1350" w:type="dxa"/>
          </w:tcPr>
          <w:p w14:paraId="6AB319D2" w14:textId="17A1E05C" w:rsidR="005E1172" w:rsidRPr="00AB440E" w:rsidRDefault="005E1172" w:rsidP="002F24B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sidRPr="00AB440E">
              <w:rPr>
                <w:rFonts w:cstheme="minorHAnsi"/>
                <w:color w:val="7F7F7F" w:themeColor="text1" w:themeTint="80"/>
              </w:rPr>
              <w:t>0</w:t>
            </w:r>
          </w:p>
        </w:tc>
        <w:tc>
          <w:tcPr>
            <w:tcW w:w="1440" w:type="dxa"/>
          </w:tcPr>
          <w:p w14:paraId="38147003" w14:textId="13085138" w:rsidR="005E1172" w:rsidRPr="00AB440E" w:rsidRDefault="005E1172" w:rsidP="002F24B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sidRPr="00AB440E">
              <w:rPr>
                <w:rFonts w:cstheme="minorHAnsi"/>
                <w:color w:val="7F7F7F" w:themeColor="text1" w:themeTint="80"/>
              </w:rPr>
              <w:t>0</w:t>
            </w:r>
          </w:p>
        </w:tc>
        <w:tc>
          <w:tcPr>
            <w:tcW w:w="1440" w:type="dxa"/>
          </w:tcPr>
          <w:p w14:paraId="0319EAF3" w14:textId="41209E12" w:rsidR="005E1172" w:rsidRPr="00AB440E" w:rsidRDefault="005E1172" w:rsidP="002F24B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sidRPr="00AB440E">
              <w:rPr>
                <w:rFonts w:cstheme="minorHAnsi"/>
                <w:color w:val="7F7F7F" w:themeColor="text1" w:themeTint="80"/>
              </w:rPr>
              <w:t>0</w:t>
            </w:r>
          </w:p>
        </w:tc>
        <w:tc>
          <w:tcPr>
            <w:tcW w:w="1350" w:type="dxa"/>
          </w:tcPr>
          <w:p w14:paraId="1457272D" w14:textId="1B5CF261" w:rsidR="005E1172" w:rsidRPr="00AB440E" w:rsidRDefault="005E1172" w:rsidP="002F24B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sidRPr="00AB440E">
              <w:rPr>
                <w:rFonts w:cstheme="minorHAnsi"/>
                <w:color w:val="7F7F7F" w:themeColor="text1" w:themeTint="80"/>
              </w:rPr>
              <w:t>0</w:t>
            </w:r>
          </w:p>
        </w:tc>
      </w:tr>
      <w:tr w:rsidR="005E1172" w14:paraId="5B6FA087"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3BE80297" w14:textId="77777777" w:rsidR="005E1172" w:rsidRPr="00AB440E" w:rsidRDefault="005E1172" w:rsidP="002F24B5">
            <w:pPr>
              <w:spacing w:before="0" w:after="0"/>
              <w:jc w:val="center"/>
              <w:rPr>
                <w:rFonts w:asciiTheme="minorHAnsi" w:hAnsiTheme="minorHAnsi" w:cstheme="minorHAnsi"/>
                <w:color w:val="7F7F7F" w:themeColor="text1" w:themeTint="80"/>
              </w:rPr>
            </w:pPr>
          </w:p>
        </w:tc>
        <w:tc>
          <w:tcPr>
            <w:tcW w:w="1080" w:type="dxa"/>
          </w:tcPr>
          <w:p w14:paraId="4EB81ED1" w14:textId="6D6975F4" w:rsidR="005E1172" w:rsidRPr="00AB440E" w:rsidRDefault="005E1172" w:rsidP="00FE7FA3">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color w:val="7F7F7F" w:themeColor="text1" w:themeTint="80"/>
              </w:rPr>
            </w:pPr>
            <w:r w:rsidRPr="00AB440E">
              <w:rPr>
                <w:rFonts w:cstheme="minorHAnsi"/>
                <w:b w:val="0"/>
                <w:bCs/>
                <w:color w:val="7F7F7F" w:themeColor="text1" w:themeTint="80"/>
              </w:rPr>
              <w:t>202</w:t>
            </w:r>
            <w:r w:rsidR="00AC137F">
              <w:rPr>
                <w:rFonts w:cstheme="minorHAnsi"/>
                <w:b w:val="0"/>
                <w:bCs/>
                <w:color w:val="7F7F7F" w:themeColor="text1" w:themeTint="80"/>
              </w:rPr>
              <w:t>3</w:t>
            </w:r>
          </w:p>
        </w:tc>
        <w:tc>
          <w:tcPr>
            <w:tcW w:w="1350" w:type="dxa"/>
          </w:tcPr>
          <w:p w14:paraId="0883081A" w14:textId="57CB44E9" w:rsidR="005E1172" w:rsidRPr="00AB440E" w:rsidRDefault="005E1172" w:rsidP="002F24B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sidRPr="00AB440E">
              <w:rPr>
                <w:rFonts w:cstheme="minorHAnsi"/>
                <w:color w:val="7F7F7F" w:themeColor="text1" w:themeTint="80"/>
              </w:rPr>
              <w:t>0</w:t>
            </w:r>
          </w:p>
        </w:tc>
        <w:tc>
          <w:tcPr>
            <w:tcW w:w="1440" w:type="dxa"/>
          </w:tcPr>
          <w:p w14:paraId="4C9BD7DE" w14:textId="4E4CBF7E" w:rsidR="005E1172" w:rsidRPr="00AB440E" w:rsidRDefault="005E1172" w:rsidP="002F24B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sidRPr="00AB440E">
              <w:rPr>
                <w:rFonts w:cstheme="minorHAnsi"/>
                <w:color w:val="7F7F7F" w:themeColor="text1" w:themeTint="80"/>
              </w:rPr>
              <w:t>0</w:t>
            </w:r>
          </w:p>
        </w:tc>
        <w:tc>
          <w:tcPr>
            <w:tcW w:w="1440" w:type="dxa"/>
          </w:tcPr>
          <w:p w14:paraId="11B54A46" w14:textId="715B36E3" w:rsidR="005E1172" w:rsidRPr="00AB440E" w:rsidRDefault="005E1172" w:rsidP="002F24B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sidRPr="00AB440E">
              <w:rPr>
                <w:rFonts w:cstheme="minorHAnsi"/>
                <w:color w:val="7F7F7F" w:themeColor="text1" w:themeTint="80"/>
              </w:rPr>
              <w:t>0</w:t>
            </w:r>
          </w:p>
        </w:tc>
        <w:tc>
          <w:tcPr>
            <w:tcW w:w="1350" w:type="dxa"/>
          </w:tcPr>
          <w:p w14:paraId="72EF251C" w14:textId="535594CE" w:rsidR="005E1172" w:rsidRPr="00AB440E" w:rsidRDefault="005E1172" w:rsidP="002F24B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sidRPr="00AB440E">
              <w:rPr>
                <w:rFonts w:cstheme="minorHAnsi"/>
                <w:color w:val="7F7F7F" w:themeColor="text1" w:themeTint="80"/>
              </w:rPr>
              <w:t>0</w:t>
            </w:r>
          </w:p>
        </w:tc>
      </w:tr>
      <w:tr w:rsidR="005E1172" w14:paraId="44AC3BFA" w14:textId="77777777" w:rsidTr="00B92770">
        <w:trPr>
          <w:trHeight w:val="288"/>
        </w:trPr>
        <w:tc>
          <w:tcPr>
            <w:cnfStyle w:val="001000000000" w:firstRow="0" w:lastRow="0" w:firstColumn="1" w:lastColumn="0" w:oddVBand="0" w:evenVBand="0" w:oddHBand="0" w:evenHBand="0" w:firstRowFirstColumn="0" w:firstRowLastColumn="0" w:lastRowFirstColumn="0" w:lastRowLastColumn="0"/>
            <w:tcW w:w="3240" w:type="dxa"/>
            <w:vMerge/>
          </w:tcPr>
          <w:p w14:paraId="646E3089" w14:textId="77777777" w:rsidR="005E1172" w:rsidRPr="00AB440E" w:rsidRDefault="005E1172" w:rsidP="002F24B5">
            <w:pPr>
              <w:spacing w:before="0" w:after="0"/>
              <w:jc w:val="center"/>
              <w:rPr>
                <w:rFonts w:asciiTheme="minorHAnsi" w:hAnsiTheme="minorHAnsi" w:cstheme="minorHAnsi"/>
                <w:color w:val="7F7F7F" w:themeColor="text1" w:themeTint="80"/>
              </w:rPr>
            </w:pPr>
          </w:p>
        </w:tc>
        <w:tc>
          <w:tcPr>
            <w:tcW w:w="1080" w:type="dxa"/>
          </w:tcPr>
          <w:p w14:paraId="7248DB46" w14:textId="3402D278" w:rsidR="005E1172" w:rsidRPr="00AB440E" w:rsidRDefault="005E1172" w:rsidP="00FE7FA3">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color w:val="7F7F7F" w:themeColor="text1" w:themeTint="80"/>
              </w:rPr>
            </w:pPr>
            <w:r w:rsidRPr="00AB440E">
              <w:rPr>
                <w:rFonts w:cstheme="minorHAnsi"/>
                <w:b w:val="0"/>
                <w:bCs/>
                <w:color w:val="7F7F7F" w:themeColor="text1" w:themeTint="80"/>
              </w:rPr>
              <w:t>20</w:t>
            </w:r>
            <w:r w:rsidR="00093938">
              <w:rPr>
                <w:rFonts w:cstheme="minorHAnsi"/>
                <w:b w:val="0"/>
                <w:bCs/>
                <w:color w:val="7F7F7F" w:themeColor="text1" w:themeTint="80"/>
              </w:rPr>
              <w:t>2</w:t>
            </w:r>
            <w:r w:rsidR="00AC137F">
              <w:rPr>
                <w:rFonts w:cstheme="minorHAnsi"/>
                <w:b w:val="0"/>
                <w:bCs/>
                <w:color w:val="7F7F7F" w:themeColor="text1" w:themeTint="80"/>
              </w:rPr>
              <w:t>2</w:t>
            </w:r>
          </w:p>
        </w:tc>
        <w:tc>
          <w:tcPr>
            <w:tcW w:w="1350" w:type="dxa"/>
          </w:tcPr>
          <w:p w14:paraId="7010EEA8" w14:textId="153A83DF" w:rsidR="005E1172" w:rsidRPr="00AB440E" w:rsidRDefault="005E1172" w:rsidP="002F24B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sidRPr="00AB440E">
              <w:rPr>
                <w:rFonts w:cstheme="minorHAnsi"/>
                <w:color w:val="7F7F7F" w:themeColor="text1" w:themeTint="80"/>
              </w:rPr>
              <w:t>0</w:t>
            </w:r>
          </w:p>
        </w:tc>
        <w:tc>
          <w:tcPr>
            <w:tcW w:w="1440" w:type="dxa"/>
          </w:tcPr>
          <w:p w14:paraId="32667DC0" w14:textId="6F46DF35" w:rsidR="005E1172" w:rsidRPr="00AB440E" w:rsidRDefault="005E1172" w:rsidP="002F24B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sidRPr="00AB440E">
              <w:rPr>
                <w:rFonts w:cstheme="minorHAnsi"/>
                <w:color w:val="7F7F7F" w:themeColor="text1" w:themeTint="80"/>
              </w:rPr>
              <w:t>0</w:t>
            </w:r>
          </w:p>
        </w:tc>
        <w:tc>
          <w:tcPr>
            <w:tcW w:w="1440" w:type="dxa"/>
          </w:tcPr>
          <w:p w14:paraId="20F3036C" w14:textId="0CEDE673" w:rsidR="005E1172" w:rsidRPr="00AB440E" w:rsidRDefault="005E1172" w:rsidP="002F24B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sidRPr="00AB440E">
              <w:rPr>
                <w:rFonts w:cstheme="minorHAnsi"/>
                <w:color w:val="7F7F7F" w:themeColor="text1" w:themeTint="80"/>
              </w:rPr>
              <w:t>0</w:t>
            </w:r>
          </w:p>
        </w:tc>
        <w:tc>
          <w:tcPr>
            <w:tcW w:w="1350" w:type="dxa"/>
          </w:tcPr>
          <w:p w14:paraId="25D70374" w14:textId="1DAE81E7" w:rsidR="005E1172" w:rsidRPr="00AB440E" w:rsidRDefault="005E1172" w:rsidP="002F24B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sidRPr="00AB440E">
              <w:rPr>
                <w:rFonts w:cstheme="minorHAnsi"/>
                <w:color w:val="7F7F7F" w:themeColor="text1" w:themeTint="80"/>
              </w:rPr>
              <w:t>0</w:t>
            </w:r>
          </w:p>
        </w:tc>
      </w:tr>
      <w:tr w:rsidR="005E1172" w14:paraId="49BB24C8"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val="restart"/>
          </w:tcPr>
          <w:p w14:paraId="1E85C090" w14:textId="4D935CD7" w:rsidR="005E1172" w:rsidRPr="00AB440E" w:rsidRDefault="005E1172" w:rsidP="00E64779">
            <w:pPr>
              <w:spacing w:before="0" w:after="0"/>
              <w:jc w:val="center"/>
              <w:rPr>
                <w:rFonts w:asciiTheme="minorHAnsi" w:hAnsiTheme="minorHAnsi" w:cstheme="minorHAnsi"/>
                <w:color w:val="7F7F7F" w:themeColor="text1" w:themeTint="80"/>
              </w:rPr>
            </w:pPr>
            <w:r w:rsidRPr="00AB440E">
              <w:rPr>
                <w:rFonts w:asciiTheme="minorHAnsi" w:hAnsiTheme="minorHAnsi" w:cstheme="minorHAnsi"/>
                <w:color w:val="7F7F7F" w:themeColor="text1" w:themeTint="80"/>
              </w:rPr>
              <w:t>Liquor Law Violations Referred for Disciplinary Action</w:t>
            </w:r>
          </w:p>
        </w:tc>
        <w:tc>
          <w:tcPr>
            <w:tcW w:w="1080" w:type="dxa"/>
          </w:tcPr>
          <w:p w14:paraId="0C390685" w14:textId="2177BF46" w:rsidR="005E1172" w:rsidRPr="00AB440E" w:rsidRDefault="005E1172" w:rsidP="00FE7FA3">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color w:val="7F7F7F" w:themeColor="text1" w:themeTint="80"/>
              </w:rPr>
            </w:pPr>
            <w:r w:rsidRPr="00AB440E">
              <w:rPr>
                <w:rFonts w:cstheme="minorHAnsi"/>
                <w:b w:val="0"/>
                <w:bCs/>
                <w:color w:val="7F7F7F" w:themeColor="text1" w:themeTint="80"/>
              </w:rPr>
              <w:t>202</w:t>
            </w:r>
            <w:r w:rsidR="00AC137F">
              <w:rPr>
                <w:rFonts w:cstheme="minorHAnsi"/>
                <w:b w:val="0"/>
                <w:bCs/>
                <w:color w:val="7F7F7F" w:themeColor="text1" w:themeTint="80"/>
              </w:rPr>
              <w:t>4</w:t>
            </w:r>
          </w:p>
        </w:tc>
        <w:tc>
          <w:tcPr>
            <w:tcW w:w="1350" w:type="dxa"/>
          </w:tcPr>
          <w:p w14:paraId="02BBC442" w14:textId="59813C6E" w:rsidR="005E1172" w:rsidRPr="00AB440E" w:rsidRDefault="005E1172" w:rsidP="00A9762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sidRPr="00AB440E">
              <w:rPr>
                <w:rFonts w:cstheme="minorHAnsi"/>
                <w:color w:val="7F7F7F" w:themeColor="text1" w:themeTint="80"/>
              </w:rPr>
              <w:t>0</w:t>
            </w:r>
          </w:p>
        </w:tc>
        <w:tc>
          <w:tcPr>
            <w:tcW w:w="1440" w:type="dxa"/>
          </w:tcPr>
          <w:p w14:paraId="4CCCDF1A" w14:textId="4DF83249" w:rsidR="005E1172" w:rsidRPr="00AB440E" w:rsidRDefault="005E1172" w:rsidP="00A9762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sidRPr="00AB440E">
              <w:rPr>
                <w:rFonts w:cstheme="minorHAnsi"/>
                <w:color w:val="7F7F7F" w:themeColor="text1" w:themeTint="80"/>
              </w:rPr>
              <w:t>0</w:t>
            </w:r>
          </w:p>
        </w:tc>
        <w:tc>
          <w:tcPr>
            <w:tcW w:w="1440" w:type="dxa"/>
          </w:tcPr>
          <w:p w14:paraId="6A97BA57" w14:textId="3C116FC7" w:rsidR="005E1172" w:rsidRPr="00AB440E" w:rsidRDefault="005E1172" w:rsidP="00A9762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sidRPr="00AB440E">
              <w:rPr>
                <w:rFonts w:cstheme="minorHAnsi"/>
                <w:color w:val="7F7F7F" w:themeColor="text1" w:themeTint="80"/>
              </w:rPr>
              <w:t>0</w:t>
            </w:r>
          </w:p>
        </w:tc>
        <w:tc>
          <w:tcPr>
            <w:tcW w:w="1350" w:type="dxa"/>
          </w:tcPr>
          <w:p w14:paraId="59D489E6" w14:textId="03F9F937" w:rsidR="005E1172" w:rsidRPr="00AB440E" w:rsidRDefault="005E1172" w:rsidP="00A9762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sidRPr="00AB440E">
              <w:rPr>
                <w:rFonts w:cstheme="minorHAnsi"/>
                <w:color w:val="7F7F7F" w:themeColor="text1" w:themeTint="80"/>
              </w:rPr>
              <w:t>0</w:t>
            </w:r>
          </w:p>
        </w:tc>
      </w:tr>
      <w:tr w:rsidR="005E1172" w14:paraId="71626B20"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2B7ED989" w14:textId="77777777" w:rsidR="005E1172" w:rsidRPr="00AB440E" w:rsidRDefault="005E1172" w:rsidP="00A97625">
            <w:pPr>
              <w:spacing w:before="0" w:after="0"/>
              <w:jc w:val="center"/>
              <w:rPr>
                <w:rFonts w:asciiTheme="minorHAnsi" w:hAnsiTheme="minorHAnsi" w:cstheme="minorHAnsi"/>
                <w:color w:val="7F7F7F" w:themeColor="text1" w:themeTint="80"/>
              </w:rPr>
            </w:pPr>
          </w:p>
        </w:tc>
        <w:tc>
          <w:tcPr>
            <w:tcW w:w="1080" w:type="dxa"/>
          </w:tcPr>
          <w:p w14:paraId="3C6C1E2F" w14:textId="18C04389" w:rsidR="005E1172" w:rsidRPr="00AB440E" w:rsidRDefault="005E1172" w:rsidP="00FE7FA3">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color w:val="7F7F7F" w:themeColor="text1" w:themeTint="80"/>
              </w:rPr>
            </w:pPr>
            <w:r w:rsidRPr="00AB440E">
              <w:rPr>
                <w:rFonts w:cstheme="minorHAnsi"/>
                <w:b w:val="0"/>
                <w:bCs/>
                <w:color w:val="7F7F7F" w:themeColor="text1" w:themeTint="80"/>
              </w:rPr>
              <w:t>202</w:t>
            </w:r>
            <w:r w:rsidR="00AC137F">
              <w:rPr>
                <w:rFonts w:cstheme="minorHAnsi"/>
                <w:b w:val="0"/>
                <w:bCs/>
                <w:color w:val="7F7F7F" w:themeColor="text1" w:themeTint="80"/>
              </w:rPr>
              <w:t>3</w:t>
            </w:r>
          </w:p>
        </w:tc>
        <w:tc>
          <w:tcPr>
            <w:tcW w:w="1350" w:type="dxa"/>
          </w:tcPr>
          <w:p w14:paraId="1ACEBA82" w14:textId="27DA773E" w:rsidR="005E1172" w:rsidRPr="00AB440E" w:rsidRDefault="005E1172" w:rsidP="00A9762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sidRPr="00AB440E">
              <w:rPr>
                <w:rFonts w:cstheme="minorHAnsi"/>
                <w:color w:val="7F7F7F" w:themeColor="text1" w:themeTint="80"/>
              </w:rPr>
              <w:t>0</w:t>
            </w:r>
          </w:p>
        </w:tc>
        <w:tc>
          <w:tcPr>
            <w:tcW w:w="1440" w:type="dxa"/>
          </w:tcPr>
          <w:p w14:paraId="2E5A0A8C" w14:textId="15DB0740" w:rsidR="005E1172" w:rsidRPr="00AB440E" w:rsidRDefault="005E1172" w:rsidP="00A9762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sidRPr="00AB440E">
              <w:rPr>
                <w:rFonts w:cstheme="minorHAnsi"/>
                <w:color w:val="7F7F7F" w:themeColor="text1" w:themeTint="80"/>
              </w:rPr>
              <w:t>0</w:t>
            </w:r>
          </w:p>
        </w:tc>
        <w:tc>
          <w:tcPr>
            <w:tcW w:w="1440" w:type="dxa"/>
          </w:tcPr>
          <w:p w14:paraId="4F5365C4" w14:textId="0EB1D150" w:rsidR="005E1172" w:rsidRPr="00AB440E" w:rsidRDefault="005E1172" w:rsidP="00A9762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sidRPr="00AB440E">
              <w:rPr>
                <w:rFonts w:cstheme="minorHAnsi"/>
                <w:color w:val="7F7F7F" w:themeColor="text1" w:themeTint="80"/>
              </w:rPr>
              <w:t>0</w:t>
            </w:r>
          </w:p>
        </w:tc>
        <w:tc>
          <w:tcPr>
            <w:tcW w:w="1350" w:type="dxa"/>
          </w:tcPr>
          <w:p w14:paraId="4D73DFED" w14:textId="56B790E0" w:rsidR="005E1172" w:rsidRPr="00AB440E" w:rsidRDefault="005E1172" w:rsidP="00A9762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sidRPr="00AB440E">
              <w:rPr>
                <w:rFonts w:cstheme="minorHAnsi"/>
                <w:color w:val="7F7F7F" w:themeColor="text1" w:themeTint="80"/>
              </w:rPr>
              <w:t>0</w:t>
            </w:r>
          </w:p>
        </w:tc>
      </w:tr>
      <w:tr w:rsidR="005E1172" w14:paraId="69A7D02C"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67B49745" w14:textId="77777777" w:rsidR="005E1172" w:rsidRPr="00AB440E" w:rsidRDefault="005E1172" w:rsidP="00A97625">
            <w:pPr>
              <w:spacing w:before="0" w:after="0"/>
              <w:jc w:val="center"/>
              <w:rPr>
                <w:rFonts w:asciiTheme="minorHAnsi" w:hAnsiTheme="minorHAnsi" w:cstheme="minorHAnsi"/>
                <w:color w:val="7F7F7F" w:themeColor="text1" w:themeTint="80"/>
              </w:rPr>
            </w:pPr>
          </w:p>
        </w:tc>
        <w:tc>
          <w:tcPr>
            <w:tcW w:w="1080" w:type="dxa"/>
          </w:tcPr>
          <w:p w14:paraId="161C1A98" w14:textId="44057929" w:rsidR="005E1172" w:rsidRPr="00AB440E" w:rsidRDefault="005E1172" w:rsidP="00FE7FA3">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color w:val="7F7F7F" w:themeColor="text1" w:themeTint="80"/>
              </w:rPr>
            </w:pPr>
            <w:r w:rsidRPr="00AB440E">
              <w:rPr>
                <w:rFonts w:cstheme="minorHAnsi"/>
                <w:b w:val="0"/>
                <w:bCs/>
                <w:color w:val="7F7F7F" w:themeColor="text1" w:themeTint="80"/>
              </w:rPr>
              <w:t>20</w:t>
            </w:r>
            <w:r w:rsidR="00E532BA">
              <w:rPr>
                <w:rFonts w:cstheme="minorHAnsi"/>
                <w:b w:val="0"/>
                <w:bCs/>
                <w:color w:val="7F7F7F" w:themeColor="text1" w:themeTint="80"/>
              </w:rPr>
              <w:t>2</w:t>
            </w:r>
            <w:r w:rsidR="00AC137F">
              <w:rPr>
                <w:rFonts w:cstheme="minorHAnsi"/>
                <w:b w:val="0"/>
                <w:bCs/>
                <w:color w:val="7F7F7F" w:themeColor="text1" w:themeTint="80"/>
              </w:rPr>
              <w:t>2</w:t>
            </w:r>
          </w:p>
        </w:tc>
        <w:tc>
          <w:tcPr>
            <w:tcW w:w="1350" w:type="dxa"/>
          </w:tcPr>
          <w:p w14:paraId="4F34FB9B" w14:textId="5B3DBEA9" w:rsidR="005E1172" w:rsidRPr="00AB440E" w:rsidRDefault="005E1172" w:rsidP="00A9762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sidRPr="00AB440E">
              <w:rPr>
                <w:rFonts w:cstheme="minorHAnsi"/>
                <w:color w:val="7F7F7F" w:themeColor="text1" w:themeTint="80"/>
              </w:rPr>
              <w:t>0</w:t>
            </w:r>
          </w:p>
        </w:tc>
        <w:tc>
          <w:tcPr>
            <w:tcW w:w="1440" w:type="dxa"/>
          </w:tcPr>
          <w:p w14:paraId="64AC1EDF" w14:textId="1E342D08" w:rsidR="005E1172" w:rsidRPr="00AB440E" w:rsidRDefault="005E1172" w:rsidP="00A9762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sidRPr="00AB440E">
              <w:rPr>
                <w:rFonts w:cstheme="minorHAnsi"/>
                <w:color w:val="7F7F7F" w:themeColor="text1" w:themeTint="80"/>
              </w:rPr>
              <w:t>0</w:t>
            </w:r>
          </w:p>
        </w:tc>
        <w:tc>
          <w:tcPr>
            <w:tcW w:w="1440" w:type="dxa"/>
          </w:tcPr>
          <w:p w14:paraId="3A29436E" w14:textId="52B04513" w:rsidR="005E1172" w:rsidRPr="00AB440E" w:rsidRDefault="005E1172" w:rsidP="00A9762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sidRPr="00AB440E">
              <w:rPr>
                <w:rFonts w:cstheme="minorHAnsi"/>
                <w:color w:val="7F7F7F" w:themeColor="text1" w:themeTint="80"/>
              </w:rPr>
              <w:t>0</w:t>
            </w:r>
          </w:p>
        </w:tc>
        <w:tc>
          <w:tcPr>
            <w:tcW w:w="1350" w:type="dxa"/>
          </w:tcPr>
          <w:p w14:paraId="5C0C9472" w14:textId="4F56DA72" w:rsidR="005E1172" w:rsidRPr="00AB440E" w:rsidRDefault="005E1172" w:rsidP="00A9762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sidRPr="00AB440E">
              <w:rPr>
                <w:rFonts w:cstheme="minorHAnsi"/>
                <w:color w:val="7F7F7F" w:themeColor="text1" w:themeTint="80"/>
              </w:rPr>
              <w:t>0</w:t>
            </w:r>
          </w:p>
        </w:tc>
      </w:tr>
      <w:tr w:rsidR="005E1172" w14:paraId="4C6CD644"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val="restart"/>
          </w:tcPr>
          <w:p w14:paraId="65EA245D" w14:textId="0A6602BB" w:rsidR="005E1172" w:rsidRPr="00AB440E" w:rsidRDefault="005E1172" w:rsidP="00812FA4">
            <w:pPr>
              <w:spacing w:after="120"/>
              <w:jc w:val="center"/>
              <w:rPr>
                <w:rFonts w:asciiTheme="minorHAnsi" w:hAnsiTheme="minorHAnsi" w:cstheme="minorHAnsi"/>
                <w:color w:val="7F7F7F" w:themeColor="text1" w:themeTint="80"/>
              </w:rPr>
            </w:pPr>
            <w:r w:rsidRPr="00AB440E">
              <w:rPr>
                <w:rFonts w:asciiTheme="minorHAnsi" w:hAnsiTheme="minorHAnsi" w:cstheme="minorHAnsi"/>
                <w:color w:val="7F7F7F" w:themeColor="text1" w:themeTint="80"/>
              </w:rPr>
              <w:t>Drug Law Violations Arrests</w:t>
            </w:r>
          </w:p>
        </w:tc>
        <w:tc>
          <w:tcPr>
            <w:tcW w:w="1080" w:type="dxa"/>
          </w:tcPr>
          <w:p w14:paraId="6281F1B4" w14:textId="7BAC4D3E" w:rsidR="005E1172" w:rsidRPr="00AB440E" w:rsidRDefault="005E1172" w:rsidP="00FE7FA3">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color w:val="7F7F7F" w:themeColor="text1" w:themeTint="80"/>
              </w:rPr>
            </w:pPr>
            <w:r w:rsidRPr="00AB440E">
              <w:rPr>
                <w:rFonts w:cstheme="minorHAnsi"/>
                <w:b w:val="0"/>
                <w:bCs/>
                <w:color w:val="7F7F7F" w:themeColor="text1" w:themeTint="80"/>
              </w:rPr>
              <w:t>202</w:t>
            </w:r>
            <w:r w:rsidR="00AC137F">
              <w:rPr>
                <w:rFonts w:cstheme="minorHAnsi"/>
                <w:b w:val="0"/>
                <w:bCs/>
                <w:color w:val="7F7F7F" w:themeColor="text1" w:themeTint="80"/>
              </w:rPr>
              <w:t>4</w:t>
            </w:r>
          </w:p>
        </w:tc>
        <w:tc>
          <w:tcPr>
            <w:tcW w:w="1350" w:type="dxa"/>
          </w:tcPr>
          <w:p w14:paraId="2E227224" w14:textId="230B077B" w:rsidR="005E1172" w:rsidRPr="00AB440E" w:rsidRDefault="00E532BA" w:rsidP="00A2095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Pr>
                <w:rFonts w:cstheme="minorHAnsi"/>
                <w:color w:val="7F7F7F" w:themeColor="text1" w:themeTint="80"/>
              </w:rPr>
              <w:t>0</w:t>
            </w:r>
          </w:p>
        </w:tc>
        <w:tc>
          <w:tcPr>
            <w:tcW w:w="1440" w:type="dxa"/>
          </w:tcPr>
          <w:p w14:paraId="569F8611" w14:textId="2BD8FDD4" w:rsidR="005E1172" w:rsidRPr="00AB440E" w:rsidRDefault="005E1172" w:rsidP="00A2095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sidRPr="00AB440E">
              <w:rPr>
                <w:rFonts w:cstheme="minorHAnsi"/>
                <w:color w:val="7F7F7F" w:themeColor="text1" w:themeTint="80"/>
              </w:rPr>
              <w:t>0</w:t>
            </w:r>
          </w:p>
        </w:tc>
        <w:tc>
          <w:tcPr>
            <w:tcW w:w="1440" w:type="dxa"/>
          </w:tcPr>
          <w:p w14:paraId="40E71537" w14:textId="214D8386" w:rsidR="005E1172" w:rsidRPr="00AB440E" w:rsidRDefault="00E532BA" w:rsidP="00A2095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Pr>
                <w:rFonts w:cstheme="minorHAnsi"/>
                <w:color w:val="7F7F7F" w:themeColor="text1" w:themeTint="80"/>
              </w:rPr>
              <w:t>0</w:t>
            </w:r>
          </w:p>
        </w:tc>
        <w:tc>
          <w:tcPr>
            <w:tcW w:w="1350" w:type="dxa"/>
          </w:tcPr>
          <w:p w14:paraId="7C25AD0D" w14:textId="28C35690" w:rsidR="005E1172" w:rsidRPr="00AB440E" w:rsidRDefault="00277548" w:rsidP="00A2095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Pr>
                <w:rFonts w:cstheme="minorHAnsi"/>
                <w:color w:val="7F7F7F" w:themeColor="text1" w:themeTint="80"/>
              </w:rPr>
              <w:t>0</w:t>
            </w:r>
          </w:p>
        </w:tc>
      </w:tr>
      <w:tr w:rsidR="005E1172" w14:paraId="500F8993"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0664C300" w14:textId="77777777" w:rsidR="005E1172" w:rsidRPr="00AB440E" w:rsidRDefault="005E1172" w:rsidP="00A20955">
            <w:pPr>
              <w:spacing w:before="0" w:after="0"/>
              <w:jc w:val="center"/>
              <w:rPr>
                <w:rFonts w:asciiTheme="minorHAnsi" w:hAnsiTheme="minorHAnsi" w:cstheme="minorHAnsi"/>
                <w:color w:val="7F7F7F" w:themeColor="text1" w:themeTint="80"/>
              </w:rPr>
            </w:pPr>
          </w:p>
        </w:tc>
        <w:tc>
          <w:tcPr>
            <w:tcW w:w="1080" w:type="dxa"/>
          </w:tcPr>
          <w:p w14:paraId="629997BC" w14:textId="0295D160" w:rsidR="005E1172" w:rsidRPr="00AB440E" w:rsidRDefault="005E1172" w:rsidP="00FE7FA3">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color w:val="7F7F7F" w:themeColor="text1" w:themeTint="80"/>
              </w:rPr>
            </w:pPr>
            <w:r w:rsidRPr="00AB440E">
              <w:rPr>
                <w:rFonts w:cstheme="minorHAnsi"/>
                <w:b w:val="0"/>
                <w:bCs/>
                <w:color w:val="7F7F7F" w:themeColor="text1" w:themeTint="80"/>
              </w:rPr>
              <w:t>202</w:t>
            </w:r>
            <w:r w:rsidR="00AC137F">
              <w:rPr>
                <w:rFonts w:cstheme="minorHAnsi"/>
                <w:b w:val="0"/>
                <w:bCs/>
                <w:color w:val="7F7F7F" w:themeColor="text1" w:themeTint="80"/>
              </w:rPr>
              <w:t>3</w:t>
            </w:r>
          </w:p>
        </w:tc>
        <w:tc>
          <w:tcPr>
            <w:tcW w:w="1350" w:type="dxa"/>
          </w:tcPr>
          <w:p w14:paraId="395F051A" w14:textId="00A8C758" w:rsidR="005E1172" w:rsidRPr="00AB440E" w:rsidRDefault="0033216D" w:rsidP="00A2095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Pr>
                <w:rFonts w:cstheme="minorHAnsi"/>
                <w:color w:val="7F7F7F" w:themeColor="text1" w:themeTint="80"/>
              </w:rPr>
              <w:t>0</w:t>
            </w:r>
          </w:p>
        </w:tc>
        <w:tc>
          <w:tcPr>
            <w:tcW w:w="1440" w:type="dxa"/>
          </w:tcPr>
          <w:p w14:paraId="59ADB3DF" w14:textId="7005FEC9" w:rsidR="005E1172" w:rsidRPr="00AB440E" w:rsidRDefault="005E1172" w:rsidP="00A2095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sidRPr="00AB440E">
              <w:rPr>
                <w:rFonts w:cstheme="minorHAnsi"/>
                <w:color w:val="7F7F7F" w:themeColor="text1" w:themeTint="80"/>
              </w:rPr>
              <w:t>0</w:t>
            </w:r>
          </w:p>
        </w:tc>
        <w:tc>
          <w:tcPr>
            <w:tcW w:w="1440" w:type="dxa"/>
          </w:tcPr>
          <w:p w14:paraId="77DA5A9C" w14:textId="258B5098" w:rsidR="005E1172" w:rsidRPr="00AB440E" w:rsidRDefault="0055278E" w:rsidP="00A2095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Pr>
                <w:rFonts w:cstheme="minorHAnsi"/>
                <w:color w:val="7F7F7F" w:themeColor="text1" w:themeTint="80"/>
              </w:rPr>
              <w:t>0</w:t>
            </w:r>
          </w:p>
        </w:tc>
        <w:tc>
          <w:tcPr>
            <w:tcW w:w="1350" w:type="dxa"/>
          </w:tcPr>
          <w:p w14:paraId="0ED30265" w14:textId="72F59E2E" w:rsidR="005E1172" w:rsidRPr="00AB440E" w:rsidRDefault="0033216D" w:rsidP="00A2095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Pr>
                <w:rFonts w:cstheme="minorHAnsi"/>
                <w:color w:val="7F7F7F" w:themeColor="text1" w:themeTint="80"/>
              </w:rPr>
              <w:t>0</w:t>
            </w:r>
          </w:p>
        </w:tc>
      </w:tr>
      <w:tr w:rsidR="005E1172" w14:paraId="25E2FC2B"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7F1D9EAC" w14:textId="77777777" w:rsidR="005E1172" w:rsidRPr="00AB440E" w:rsidRDefault="005E1172" w:rsidP="00A20955">
            <w:pPr>
              <w:spacing w:before="0" w:after="0"/>
              <w:jc w:val="center"/>
              <w:rPr>
                <w:rFonts w:asciiTheme="minorHAnsi" w:hAnsiTheme="minorHAnsi" w:cstheme="minorHAnsi"/>
                <w:color w:val="7F7F7F" w:themeColor="text1" w:themeTint="80"/>
              </w:rPr>
            </w:pPr>
          </w:p>
        </w:tc>
        <w:tc>
          <w:tcPr>
            <w:tcW w:w="1080" w:type="dxa"/>
          </w:tcPr>
          <w:p w14:paraId="2E5D1742" w14:textId="095A59F0" w:rsidR="005E1172" w:rsidRPr="00AB440E" w:rsidRDefault="005E1172" w:rsidP="00FE7FA3">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color w:val="7F7F7F" w:themeColor="text1" w:themeTint="80"/>
              </w:rPr>
            </w:pPr>
            <w:r w:rsidRPr="00AB440E">
              <w:rPr>
                <w:rFonts w:cstheme="minorHAnsi"/>
                <w:b w:val="0"/>
                <w:bCs/>
                <w:color w:val="7F7F7F" w:themeColor="text1" w:themeTint="80"/>
              </w:rPr>
              <w:t>20</w:t>
            </w:r>
            <w:r w:rsidR="00E532BA">
              <w:rPr>
                <w:rFonts w:cstheme="minorHAnsi"/>
                <w:b w:val="0"/>
                <w:bCs/>
                <w:color w:val="7F7F7F" w:themeColor="text1" w:themeTint="80"/>
              </w:rPr>
              <w:t>2</w:t>
            </w:r>
            <w:r w:rsidR="00AC137F">
              <w:rPr>
                <w:rFonts w:cstheme="minorHAnsi"/>
                <w:b w:val="0"/>
                <w:bCs/>
                <w:color w:val="7F7F7F" w:themeColor="text1" w:themeTint="80"/>
              </w:rPr>
              <w:t>2</w:t>
            </w:r>
          </w:p>
        </w:tc>
        <w:tc>
          <w:tcPr>
            <w:tcW w:w="1350" w:type="dxa"/>
          </w:tcPr>
          <w:p w14:paraId="445212AC" w14:textId="79883DE5" w:rsidR="005E1172" w:rsidRPr="00AB440E" w:rsidRDefault="001A2E10" w:rsidP="00A2095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Pr>
                <w:rFonts w:cstheme="minorHAnsi"/>
                <w:color w:val="7F7F7F" w:themeColor="text1" w:themeTint="80"/>
              </w:rPr>
              <w:t>0</w:t>
            </w:r>
          </w:p>
        </w:tc>
        <w:tc>
          <w:tcPr>
            <w:tcW w:w="1440" w:type="dxa"/>
          </w:tcPr>
          <w:p w14:paraId="5CFD6AF0" w14:textId="5D7C86EF" w:rsidR="005E1172" w:rsidRPr="00AB440E" w:rsidRDefault="005E1172" w:rsidP="00A2095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sidRPr="00AB440E">
              <w:rPr>
                <w:rFonts w:cstheme="minorHAnsi"/>
                <w:color w:val="7F7F7F" w:themeColor="text1" w:themeTint="80"/>
              </w:rPr>
              <w:t>0</w:t>
            </w:r>
          </w:p>
        </w:tc>
        <w:tc>
          <w:tcPr>
            <w:tcW w:w="1440" w:type="dxa"/>
          </w:tcPr>
          <w:p w14:paraId="00FC4F0F" w14:textId="06E2D48A" w:rsidR="005E1172" w:rsidRPr="00AB440E" w:rsidRDefault="001A2E10" w:rsidP="00A2095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Pr>
                <w:rFonts w:cstheme="minorHAnsi"/>
                <w:color w:val="7F7F7F" w:themeColor="text1" w:themeTint="80"/>
              </w:rPr>
              <w:t>0</w:t>
            </w:r>
          </w:p>
        </w:tc>
        <w:tc>
          <w:tcPr>
            <w:tcW w:w="1350" w:type="dxa"/>
          </w:tcPr>
          <w:p w14:paraId="6A71AC11" w14:textId="77B3C768" w:rsidR="005E1172" w:rsidRPr="00AB440E" w:rsidRDefault="001A2E10" w:rsidP="00A2095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Pr>
                <w:rFonts w:cstheme="minorHAnsi"/>
                <w:color w:val="7F7F7F" w:themeColor="text1" w:themeTint="80"/>
              </w:rPr>
              <w:t>0</w:t>
            </w:r>
          </w:p>
        </w:tc>
      </w:tr>
      <w:tr w:rsidR="005E1172" w14:paraId="52D5E99E"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val="restart"/>
          </w:tcPr>
          <w:p w14:paraId="0FF0C375" w14:textId="5E679A24" w:rsidR="005E1172" w:rsidRPr="00AB440E" w:rsidRDefault="005E1172" w:rsidP="00E64779">
            <w:pPr>
              <w:spacing w:before="0" w:after="0"/>
              <w:jc w:val="center"/>
              <w:rPr>
                <w:rFonts w:asciiTheme="minorHAnsi" w:hAnsiTheme="minorHAnsi" w:cstheme="minorHAnsi"/>
                <w:color w:val="7F7F7F" w:themeColor="text1" w:themeTint="80"/>
              </w:rPr>
            </w:pPr>
            <w:r w:rsidRPr="00AB440E">
              <w:rPr>
                <w:rFonts w:asciiTheme="minorHAnsi" w:hAnsiTheme="minorHAnsi" w:cstheme="minorHAnsi"/>
                <w:color w:val="7F7F7F" w:themeColor="text1" w:themeTint="80"/>
              </w:rPr>
              <w:t>Drug Law Violations Referred for Disciplinary Action</w:t>
            </w:r>
          </w:p>
        </w:tc>
        <w:tc>
          <w:tcPr>
            <w:tcW w:w="1080" w:type="dxa"/>
          </w:tcPr>
          <w:p w14:paraId="22871E12" w14:textId="6088C385" w:rsidR="005E1172" w:rsidRPr="00AB440E" w:rsidRDefault="005E1172" w:rsidP="00DA496B">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202</w:t>
            </w:r>
            <w:r w:rsidR="001A2E10">
              <w:rPr>
                <w:rFonts w:cstheme="minorHAnsi"/>
                <w:b w:val="0"/>
                <w:bCs/>
              </w:rPr>
              <w:t>4</w:t>
            </w:r>
          </w:p>
        </w:tc>
        <w:tc>
          <w:tcPr>
            <w:tcW w:w="1350" w:type="dxa"/>
          </w:tcPr>
          <w:p w14:paraId="349965B7" w14:textId="46DB1A35" w:rsidR="005E1172" w:rsidRPr="00AB440E" w:rsidRDefault="005E1172" w:rsidP="00492E41">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sidRPr="00AB440E">
              <w:rPr>
                <w:rFonts w:cstheme="minorHAnsi"/>
                <w:color w:val="7F7F7F" w:themeColor="text1" w:themeTint="80"/>
              </w:rPr>
              <w:t>0</w:t>
            </w:r>
          </w:p>
        </w:tc>
        <w:tc>
          <w:tcPr>
            <w:tcW w:w="1440" w:type="dxa"/>
          </w:tcPr>
          <w:p w14:paraId="5AA41083" w14:textId="506FC51C" w:rsidR="005E1172" w:rsidRPr="00AB440E" w:rsidRDefault="005E1172" w:rsidP="00492E41">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sidRPr="00AB440E">
              <w:rPr>
                <w:rFonts w:cstheme="minorHAnsi"/>
                <w:color w:val="7F7F7F" w:themeColor="text1" w:themeTint="80"/>
              </w:rPr>
              <w:t>0</w:t>
            </w:r>
          </w:p>
        </w:tc>
        <w:tc>
          <w:tcPr>
            <w:tcW w:w="1440" w:type="dxa"/>
          </w:tcPr>
          <w:p w14:paraId="631A4D3A" w14:textId="6AE991B2" w:rsidR="005E1172" w:rsidRPr="00AB440E" w:rsidRDefault="005E1172" w:rsidP="00492E41">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sidRPr="00AB440E">
              <w:rPr>
                <w:rFonts w:cstheme="minorHAnsi"/>
                <w:color w:val="7F7F7F" w:themeColor="text1" w:themeTint="80"/>
              </w:rPr>
              <w:t>0</w:t>
            </w:r>
          </w:p>
        </w:tc>
        <w:tc>
          <w:tcPr>
            <w:tcW w:w="1350" w:type="dxa"/>
          </w:tcPr>
          <w:p w14:paraId="03118988" w14:textId="1D87414B" w:rsidR="005E1172" w:rsidRPr="00AB440E" w:rsidRDefault="005E1172" w:rsidP="00492E41">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7F7F7F" w:themeColor="text1" w:themeTint="80"/>
              </w:rPr>
            </w:pPr>
            <w:r w:rsidRPr="00AB440E">
              <w:rPr>
                <w:rFonts w:cstheme="minorHAnsi"/>
                <w:color w:val="7F7F7F" w:themeColor="text1" w:themeTint="80"/>
              </w:rPr>
              <w:t>0</w:t>
            </w:r>
          </w:p>
        </w:tc>
      </w:tr>
      <w:tr w:rsidR="005E1172" w14:paraId="416D92BD"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7370299D" w14:textId="77777777" w:rsidR="005E1172" w:rsidRPr="00AB440E" w:rsidRDefault="005E1172" w:rsidP="00492E41">
            <w:pPr>
              <w:spacing w:before="0" w:after="0"/>
              <w:jc w:val="center"/>
              <w:rPr>
                <w:rFonts w:asciiTheme="minorHAnsi" w:hAnsiTheme="minorHAnsi" w:cstheme="minorHAnsi"/>
                <w:color w:val="0072C6" w:themeColor="accent1"/>
              </w:rPr>
            </w:pPr>
          </w:p>
        </w:tc>
        <w:tc>
          <w:tcPr>
            <w:tcW w:w="1080" w:type="dxa"/>
          </w:tcPr>
          <w:p w14:paraId="30F96D5D" w14:textId="13EF741D" w:rsidR="005E1172" w:rsidRPr="00AB440E" w:rsidRDefault="005E1172" w:rsidP="00DA496B">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202</w:t>
            </w:r>
            <w:r w:rsidR="001A2E10">
              <w:rPr>
                <w:rFonts w:cstheme="minorHAnsi"/>
                <w:b w:val="0"/>
                <w:bCs/>
              </w:rPr>
              <w:t>3</w:t>
            </w:r>
          </w:p>
        </w:tc>
        <w:tc>
          <w:tcPr>
            <w:tcW w:w="1350" w:type="dxa"/>
          </w:tcPr>
          <w:p w14:paraId="6BE5500A" w14:textId="68E095D0" w:rsidR="005E1172" w:rsidRPr="00AB440E" w:rsidRDefault="005E1172" w:rsidP="00492E41">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0</w:t>
            </w:r>
          </w:p>
        </w:tc>
        <w:tc>
          <w:tcPr>
            <w:tcW w:w="1440" w:type="dxa"/>
          </w:tcPr>
          <w:p w14:paraId="47E887C4" w14:textId="56811451" w:rsidR="005E1172" w:rsidRPr="00AB440E" w:rsidRDefault="005E1172" w:rsidP="00492E41">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0</w:t>
            </w:r>
          </w:p>
        </w:tc>
        <w:tc>
          <w:tcPr>
            <w:tcW w:w="1440" w:type="dxa"/>
          </w:tcPr>
          <w:p w14:paraId="3EAD362E" w14:textId="30F55E1D" w:rsidR="005E1172" w:rsidRPr="00AB440E" w:rsidRDefault="005E1172" w:rsidP="00492E41">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0</w:t>
            </w:r>
          </w:p>
        </w:tc>
        <w:tc>
          <w:tcPr>
            <w:tcW w:w="1350" w:type="dxa"/>
          </w:tcPr>
          <w:p w14:paraId="16046399" w14:textId="50284D95" w:rsidR="005E1172" w:rsidRPr="00AB440E" w:rsidRDefault="005E1172" w:rsidP="00492E41">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AB440E">
              <w:rPr>
                <w:rFonts w:cstheme="minorHAnsi"/>
              </w:rPr>
              <w:t>0</w:t>
            </w:r>
          </w:p>
        </w:tc>
      </w:tr>
      <w:tr w:rsidR="005E1172" w14:paraId="78B760AC"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23A3324E" w14:textId="77777777" w:rsidR="005E1172" w:rsidRPr="00AB440E" w:rsidRDefault="005E1172" w:rsidP="00492E41">
            <w:pPr>
              <w:spacing w:before="0" w:after="0"/>
              <w:jc w:val="center"/>
              <w:rPr>
                <w:rFonts w:asciiTheme="minorHAnsi" w:hAnsiTheme="minorHAnsi" w:cstheme="minorHAnsi"/>
                <w:color w:val="0072C6" w:themeColor="accent1"/>
              </w:rPr>
            </w:pPr>
          </w:p>
        </w:tc>
        <w:tc>
          <w:tcPr>
            <w:tcW w:w="1080" w:type="dxa"/>
          </w:tcPr>
          <w:p w14:paraId="46CDA56A" w14:textId="723145D4" w:rsidR="005E1172" w:rsidRPr="00AB440E" w:rsidRDefault="005E1172" w:rsidP="00DA496B">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20</w:t>
            </w:r>
            <w:r w:rsidR="00277548">
              <w:rPr>
                <w:rFonts w:cstheme="minorHAnsi"/>
                <w:b w:val="0"/>
                <w:bCs/>
              </w:rPr>
              <w:t>2</w:t>
            </w:r>
            <w:r w:rsidR="001A2E10">
              <w:rPr>
                <w:rFonts w:cstheme="minorHAnsi"/>
                <w:b w:val="0"/>
                <w:bCs/>
              </w:rPr>
              <w:t>2</w:t>
            </w:r>
          </w:p>
        </w:tc>
        <w:tc>
          <w:tcPr>
            <w:tcW w:w="1350" w:type="dxa"/>
          </w:tcPr>
          <w:p w14:paraId="5A4FAD7F" w14:textId="35353F2C" w:rsidR="005E1172" w:rsidRPr="00AB440E" w:rsidRDefault="005E1172" w:rsidP="00492E41">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0</w:t>
            </w:r>
          </w:p>
        </w:tc>
        <w:tc>
          <w:tcPr>
            <w:tcW w:w="1440" w:type="dxa"/>
          </w:tcPr>
          <w:p w14:paraId="0052308A" w14:textId="6834D846" w:rsidR="005E1172" w:rsidRPr="00AB440E" w:rsidRDefault="005E1172" w:rsidP="00492E41">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0</w:t>
            </w:r>
          </w:p>
        </w:tc>
        <w:tc>
          <w:tcPr>
            <w:tcW w:w="1440" w:type="dxa"/>
          </w:tcPr>
          <w:p w14:paraId="6C1CC6BE" w14:textId="4E59EFF0" w:rsidR="005E1172" w:rsidRPr="00AB440E" w:rsidRDefault="005E1172" w:rsidP="00492E41">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0</w:t>
            </w:r>
          </w:p>
        </w:tc>
        <w:tc>
          <w:tcPr>
            <w:tcW w:w="1350" w:type="dxa"/>
          </w:tcPr>
          <w:p w14:paraId="27015219" w14:textId="6B56A35A" w:rsidR="005E1172" w:rsidRPr="00AB440E" w:rsidRDefault="005E1172" w:rsidP="00492E41">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AB440E">
              <w:rPr>
                <w:rFonts w:cstheme="minorHAnsi"/>
              </w:rPr>
              <w:t>0</w:t>
            </w:r>
          </w:p>
        </w:tc>
      </w:tr>
      <w:tr w:rsidR="005E1172" w14:paraId="3F44BB85"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val="restart"/>
          </w:tcPr>
          <w:p w14:paraId="2E048D4A" w14:textId="0E0EDBC9" w:rsidR="005E1172" w:rsidRPr="00AB440E" w:rsidRDefault="005E1172" w:rsidP="00B92770">
            <w:pPr>
              <w:spacing w:after="120"/>
              <w:jc w:val="center"/>
              <w:rPr>
                <w:rFonts w:asciiTheme="minorHAnsi" w:hAnsiTheme="minorHAnsi" w:cstheme="minorHAnsi"/>
              </w:rPr>
            </w:pPr>
            <w:r w:rsidRPr="00AB440E">
              <w:rPr>
                <w:rFonts w:asciiTheme="minorHAnsi" w:hAnsiTheme="minorHAnsi" w:cstheme="minorHAnsi"/>
              </w:rPr>
              <w:t>Weapons Law</w:t>
            </w:r>
            <w:r w:rsidR="00CD11E1">
              <w:rPr>
                <w:rFonts w:asciiTheme="minorHAnsi" w:hAnsiTheme="minorHAnsi" w:cstheme="minorHAnsi"/>
              </w:rPr>
              <w:t xml:space="preserve"> </w:t>
            </w:r>
            <w:r w:rsidRPr="00AB440E">
              <w:rPr>
                <w:rFonts w:asciiTheme="minorHAnsi" w:hAnsiTheme="minorHAnsi" w:cstheme="minorHAnsi"/>
              </w:rPr>
              <w:t>Violations Arrests</w:t>
            </w:r>
          </w:p>
        </w:tc>
        <w:tc>
          <w:tcPr>
            <w:tcW w:w="1080" w:type="dxa"/>
          </w:tcPr>
          <w:p w14:paraId="7FAD0B72" w14:textId="242E28F8" w:rsidR="005E1172" w:rsidRPr="00AB440E" w:rsidRDefault="005E1172" w:rsidP="00787375">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202</w:t>
            </w:r>
            <w:r w:rsidR="001A2E10">
              <w:rPr>
                <w:rFonts w:cstheme="minorHAnsi"/>
                <w:b w:val="0"/>
                <w:bCs/>
              </w:rPr>
              <w:t>4</w:t>
            </w:r>
          </w:p>
        </w:tc>
        <w:tc>
          <w:tcPr>
            <w:tcW w:w="1350" w:type="dxa"/>
          </w:tcPr>
          <w:p w14:paraId="2C9D2421" w14:textId="5C0A2C51" w:rsidR="005E1172" w:rsidRPr="00AB440E" w:rsidRDefault="005E1172" w:rsidP="0078737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0</w:t>
            </w:r>
          </w:p>
        </w:tc>
        <w:tc>
          <w:tcPr>
            <w:tcW w:w="1440" w:type="dxa"/>
          </w:tcPr>
          <w:p w14:paraId="7839C209" w14:textId="43317760" w:rsidR="005E1172" w:rsidRPr="00AB440E" w:rsidRDefault="005E1172" w:rsidP="0078737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0</w:t>
            </w:r>
          </w:p>
        </w:tc>
        <w:tc>
          <w:tcPr>
            <w:tcW w:w="1440" w:type="dxa"/>
          </w:tcPr>
          <w:p w14:paraId="5AD5C070" w14:textId="5BBD7743" w:rsidR="005E1172" w:rsidRPr="00AB440E" w:rsidRDefault="005E1172" w:rsidP="0078737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0</w:t>
            </w:r>
          </w:p>
        </w:tc>
        <w:tc>
          <w:tcPr>
            <w:tcW w:w="1350" w:type="dxa"/>
          </w:tcPr>
          <w:p w14:paraId="55447B8D" w14:textId="0E9539EE" w:rsidR="005E1172" w:rsidRPr="00AB440E" w:rsidRDefault="005E1172" w:rsidP="0078737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AB440E">
              <w:rPr>
                <w:rFonts w:cstheme="minorHAnsi"/>
              </w:rPr>
              <w:t>0</w:t>
            </w:r>
          </w:p>
        </w:tc>
      </w:tr>
      <w:tr w:rsidR="005E1172" w14:paraId="63D45F61"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4ADABB5A" w14:textId="77777777" w:rsidR="005E1172" w:rsidRPr="00AB440E" w:rsidRDefault="005E1172" w:rsidP="00787375">
            <w:pPr>
              <w:spacing w:before="0" w:after="0"/>
              <w:jc w:val="center"/>
              <w:rPr>
                <w:rFonts w:asciiTheme="minorHAnsi" w:hAnsiTheme="minorHAnsi" w:cstheme="minorHAnsi"/>
              </w:rPr>
            </w:pPr>
          </w:p>
        </w:tc>
        <w:tc>
          <w:tcPr>
            <w:tcW w:w="1080" w:type="dxa"/>
          </w:tcPr>
          <w:p w14:paraId="445243F6" w14:textId="3C2E8606" w:rsidR="005E1172" w:rsidRPr="00AB440E" w:rsidRDefault="005E1172" w:rsidP="00787375">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202</w:t>
            </w:r>
            <w:r w:rsidR="001A2E10">
              <w:rPr>
                <w:rFonts w:cstheme="minorHAnsi"/>
                <w:b w:val="0"/>
                <w:bCs/>
              </w:rPr>
              <w:t>3</w:t>
            </w:r>
          </w:p>
        </w:tc>
        <w:tc>
          <w:tcPr>
            <w:tcW w:w="1350" w:type="dxa"/>
          </w:tcPr>
          <w:p w14:paraId="23060D29" w14:textId="0DDC2B38" w:rsidR="005E1172" w:rsidRPr="00AB440E" w:rsidRDefault="005E1172" w:rsidP="0078737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0</w:t>
            </w:r>
          </w:p>
        </w:tc>
        <w:tc>
          <w:tcPr>
            <w:tcW w:w="1440" w:type="dxa"/>
          </w:tcPr>
          <w:p w14:paraId="68C40B04" w14:textId="13C89FE4" w:rsidR="005E1172" w:rsidRPr="00AB440E" w:rsidRDefault="005E1172" w:rsidP="0078737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0</w:t>
            </w:r>
          </w:p>
        </w:tc>
        <w:tc>
          <w:tcPr>
            <w:tcW w:w="1440" w:type="dxa"/>
          </w:tcPr>
          <w:p w14:paraId="43E787CC" w14:textId="12AA9BFD" w:rsidR="005E1172" w:rsidRPr="00AB440E" w:rsidRDefault="005E1172" w:rsidP="0078737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0</w:t>
            </w:r>
          </w:p>
        </w:tc>
        <w:tc>
          <w:tcPr>
            <w:tcW w:w="1350" w:type="dxa"/>
          </w:tcPr>
          <w:p w14:paraId="245173CE" w14:textId="362EE831" w:rsidR="005E1172" w:rsidRPr="00AB440E" w:rsidRDefault="005E1172" w:rsidP="0078737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AB440E">
              <w:rPr>
                <w:rFonts w:cstheme="minorHAnsi"/>
              </w:rPr>
              <w:t>0</w:t>
            </w:r>
          </w:p>
        </w:tc>
      </w:tr>
      <w:tr w:rsidR="005E1172" w14:paraId="426D8F40"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655BF942" w14:textId="77777777" w:rsidR="005E1172" w:rsidRPr="00AB440E" w:rsidRDefault="005E1172" w:rsidP="00787375">
            <w:pPr>
              <w:spacing w:before="0" w:after="0"/>
              <w:jc w:val="center"/>
              <w:rPr>
                <w:rFonts w:asciiTheme="minorHAnsi" w:hAnsiTheme="minorHAnsi" w:cstheme="minorHAnsi"/>
              </w:rPr>
            </w:pPr>
          </w:p>
        </w:tc>
        <w:tc>
          <w:tcPr>
            <w:tcW w:w="1080" w:type="dxa"/>
          </w:tcPr>
          <w:p w14:paraId="14763DD5" w14:textId="0B8EB82D" w:rsidR="005E1172" w:rsidRPr="00AB440E" w:rsidRDefault="005E1172" w:rsidP="00787375">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20</w:t>
            </w:r>
            <w:r w:rsidR="00277548">
              <w:rPr>
                <w:rFonts w:cstheme="minorHAnsi"/>
                <w:b w:val="0"/>
                <w:bCs/>
              </w:rPr>
              <w:t>2</w:t>
            </w:r>
            <w:r w:rsidR="001A2E10">
              <w:rPr>
                <w:rFonts w:cstheme="minorHAnsi"/>
                <w:b w:val="0"/>
                <w:bCs/>
              </w:rPr>
              <w:t>2</w:t>
            </w:r>
          </w:p>
        </w:tc>
        <w:tc>
          <w:tcPr>
            <w:tcW w:w="1350" w:type="dxa"/>
          </w:tcPr>
          <w:p w14:paraId="172EDA97" w14:textId="408E6AE1" w:rsidR="005E1172" w:rsidRPr="00AB440E" w:rsidRDefault="005E1172" w:rsidP="0078737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0</w:t>
            </w:r>
          </w:p>
        </w:tc>
        <w:tc>
          <w:tcPr>
            <w:tcW w:w="1440" w:type="dxa"/>
          </w:tcPr>
          <w:p w14:paraId="27448F7E" w14:textId="4EACA62E" w:rsidR="005E1172" w:rsidRPr="00AB440E" w:rsidRDefault="005E1172" w:rsidP="0078737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0</w:t>
            </w:r>
          </w:p>
        </w:tc>
        <w:tc>
          <w:tcPr>
            <w:tcW w:w="1440" w:type="dxa"/>
          </w:tcPr>
          <w:p w14:paraId="0C418DA6" w14:textId="507003DC" w:rsidR="005E1172" w:rsidRPr="00AB440E" w:rsidRDefault="005E1172" w:rsidP="0078737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0</w:t>
            </w:r>
          </w:p>
        </w:tc>
        <w:tc>
          <w:tcPr>
            <w:tcW w:w="1350" w:type="dxa"/>
          </w:tcPr>
          <w:p w14:paraId="49E3C79C" w14:textId="7450DDE5" w:rsidR="005E1172" w:rsidRPr="00AB440E" w:rsidRDefault="005E1172" w:rsidP="00787375">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AB440E">
              <w:rPr>
                <w:rFonts w:cstheme="minorHAnsi"/>
              </w:rPr>
              <w:t>0</w:t>
            </w:r>
          </w:p>
        </w:tc>
      </w:tr>
      <w:tr w:rsidR="005E1172" w14:paraId="43788EFB"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val="restart"/>
          </w:tcPr>
          <w:p w14:paraId="001D7374" w14:textId="27B3EC43" w:rsidR="005E1172" w:rsidRPr="00AB440E" w:rsidRDefault="005E1172" w:rsidP="009C3677">
            <w:pPr>
              <w:spacing w:before="0" w:after="0"/>
              <w:jc w:val="center"/>
              <w:rPr>
                <w:rFonts w:asciiTheme="minorHAnsi" w:hAnsiTheme="minorHAnsi" w:cstheme="minorHAnsi"/>
              </w:rPr>
            </w:pPr>
            <w:r w:rsidRPr="00AB440E">
              <w:rPr>
                <w:rFonts w:asciiTheme="minorHAnsi" w:hAnsiTheme="minorHAnsi" w:cstheme="minorHAnsi"/>
              </w:rPr>
              <w:t>Weapons Law Violations Referred for Disciplinary Action</w:t>
            </w:r>
          </w:p>
        </w:tc>
        <w:tc>
          <w:tcPr>
            <w:tcW w:w="1080" w:type="dxa"/>
          </w:tcPr>
          <w:p w14:paraId="04E2DD85" w14:textId="0C05DF8B" w:rsidR="005E1172" w:rsidRPr="00AB440E" w:rsidRDefault="005E1172" w:rsidP="007321EE">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202</w:t>
            </w:r>
            <w:r w:rsidR="001A2E10">
              <w:rPr>
                <w:rFonts w:cstheme="minorHAnsi"/>
                <w:b w:val="0"/>
                <w:bCs/>
              </w:rPr>
              <w:t>4</w:t>
            </w:r>
          </w:p>
        </w:tc>
        <w:tc>
          <w:tcPr>
            <w:tcW w:w="1350" w:type="dxa"/>
          </w:tcPr>
          <w:p w14:paraId="0E58E986" w14:textId="0419E348" w:rsidR="005E1172" w:rsidRPr="00AB440E" w:rsidRDefault="005E1172" w:rsidP="007321E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0</w:t>
            </w:r>
          </w:p>
        </w:tc>
        <w:tc>
          <w:tcPr>
            <w:tcW w:w="1440" w:type="dxa"/>
          </w:tcPr>
          <w:p w14:paraId="12EC1A50" w14:textId="1FBE6CB1" w:rsidR="005E1172" w:rsidRPr="00AB440E" w:rsidRDefault="005E1172" w:rsidP="007321E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0</w:t>
            </w:r>
          </w:p>
        </w:tc>
        <w:tc>
          <w:tcPr>
            <w:tcW w:w="1440" w:type="dxa"/>
          </w:tcPr>
          <w:p w14:paraId="06BA1F48" w14:textId="675C85CF" w:rsidR="005E1172" w:rsidRPr="00AB440E" w:rsidRDefault="005E1172" w:rsidP="007321E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0</w:t>
            </w:r>
          </w:p>
        </w:tc>
        <w:tc>
          <w:tcPr>
            <w:tcW w:w="1350" w:type="dxa"/>
          </w:tcPr>
          <w:p w14:paraId="2D4ECF6F" w14:textId="6386494A" w:rsidR="005E1172" w:rsidRPr="00AB440E" w:rsidRDefault="005E1172" w:rsidP="007321E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AB440E">
              <w:rPr>
                <w:rFonts w:cstheme="minorHAnsi"/>
              </w:rPr>
              <w:t>0</w:t>
            </w:r>
          </w:p>
        </w:tc>
      </w:tr>
      <w:tr w:rsidR="005E1172" w14:paraId="0033CA3D"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0312177B" w14:textId="77777777" w:rsidR="005E1172" w:rsidRPr="00AB440E" w:rsidRDefault="005E1172" w:rsidP="007321EE">
            <w:pPr>
              <w:spacing w:before="0" w:after="0"/>
              <w:jc w:val="center"/>
              <w:rPr>
                <w:rFonts w:asciiTheme="minorHAnsi" w:hAnsiTheme="minorHAnsi" w:cstheme="minorHAnsi"/>
              </w:rPr>
            </w:pPr>
          </w:p>
        </w:tc>
        <w:tc>
          <w:tcPr>
            <w:tcW w:w="1080" w:type="dxa"/>
          </w:tcPr>
          <w:p w14:paraId="681B6ED9" w14:textId="1A66A493" w:rsidR="005E1172" w:rsidRPr="00AB440E" w:rsidRDefault="005E1172" w:rsidP="007321EE">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202</w:t>
            </w:r>
            <w:r w:rsidR="001A2E10">
              <w:rPr>
                <w:rFonts w:cstheme="minorHAnsi"/>
                <w:b w:val="0"/>
                <w:bCs/>
              </w:rPr>
              <w:t>3</w:t>
            </w:r>
          </w:p>
        </w:tc>
        <w:tc>
          <w:tcPr>
            <w:tcW w:w="1350" w:type="dxa"/>
          </w:tcPr>
          <w:p w14:paraId="7F785844" w14:textId="31B675B9" w:rsidR="005E1172" w:rsidRPr="00AB440E" w:rsidRDefault="005E1172" w:rsidP="007321E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0</w:t>
            </w:r>
          </w:p>
        </w:tc>
        <w:tc>
          <w:tcPr>
            <w:tcW w:w="1440" w:type="dxa"/>
          </w:tcPr>
          <w:p w14:paraId="7ACC570B" w14:textId="05079022" w:rsidR="005E1172" w:rsidRPr="00AB440E" w:rsidRDefault="005E1172" w:rsidP="007321E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0</w:t>
            </w:r>
          </w:p>
        </w:tc>
        <w:tc>
          <w:tcPr>
            <w:tcW w:w="1440" w:type="dxa"/>
          </w:tcPr>
          <w:p w14:paraId="0C342900" w14:textId="0E311037" w:rsidR="005E1172" w:rsidRPr="00AB440E" w:rsidRDefault="005E1172" w:rsidP="007321E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0</w:t>
            </w:r>
          </w:p>
        </w:tc>
        <w:tc>
          <w:tcPr>
            <w:tcW w:w="1350" w:type="dxa"/>
          </w:tcPr>
          <w:p w14:paraId="48159CF9" w14:textId="0B47D9BD" w:rsidR="005E1172" w:rsidRPr="00AB440E" w:rsidRDefault="005E1172" w:rsidP="007321E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AB440E">
              <w:rPr>
                <w:rFonts w:cstheme="minorHAnsi"/>
              </w:rPr>
              <w:t>0</w:t>
            </w:r>
          </w:p>
        </w:tc>
      </w:tr>
      <w:tr w:rsidR="005E1172" w14:paraId="00BEF338" w14:textId="77777777" w:rsidTr="00B92770">
        <w:tc>
          <w:tcPr>
            <w:cnfStyle w:val="001000000000" w:firstRow="0" w:lastRow="0" w:firstColumn="1" w:lastColumn="0" w:oddVBand="0" w:evenVBand="0" w:oddHBand="0" w:evenHBand="0" w:firstRowFirstColumn="0" w:firstRowLastColumn="0" w:lastRowFirstColumn="0" w:lastRowLastColumn="0"/>
            <w:tcW w:w="3240" w:type="dxa"/>
            <w:vMerge/>
          </w:tcPr>
          <w:p w14:paraId="5DE2281A" w14:textId="77777777" w:rsidR="005E1172" w:rsidRPr="00AB440E" w:rsidRDefault="005E1172" w:rsidP="007321EE">
            <w:pPr>
              <w:spacing w:before="0" w:after="0"/>
              <w:jc w:val="center"/>
              <w:rPr>
                <w:rFonts w:asciiTheme="minorHAnsi" w:hAnsiTheme="minorHAnsi" w:cstheme="minorHAnsi"/>
              </w:rPr>
            </w:pPr>
          </w:p>
        </w:tc>
        <w:tc>
          <w:tcPr>
            <w:tcW w:w="1080" w:type="dxa"/>
          </w:tcPr>
          <w:p w14:paraId="48295226" w14:textId="008AEBF1" w:rsidR="005E1172" w:rsidRPr="00AB440E" w:rsidRDefault="005E1172" w:rsidP="007321EE">
            <w:pPr>
              <w:spacing w:before="0" w:after="0"/>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20</w:t>
            </w:r>
            <w:r w:rsidR="00277548">
              <w:rPr>
                <w:rFonts w:cstheme="minorHAnsi"/>
                <w:b w:val="0"/>
                <w:bCs/>
              </w:rPr>
              <w:t>2</w:t>
            </w:r>
            <w:r w:rsidR="001A2E10">
              <w:rPr>
                <w:rFonts w:cstheme="minorHAnsi"/>
                <w:b w:val="0"/>
                <w:bCs/>
              </w:rPr>
              <w:t>2</w:t>
            </w:r>
          </w:p>
        </w:tc>
        <w:tc>
          <w:tcPr>
            <w:tcW w:w="1350" w:type="dxa"/>
          </w:tcPr>
          <w:p w14:paraId="744168D3" w14:textId="5E78CD46" w:rsidR="005E1172" w:rsidRPr="00AB440E" w:rsidRDefault="005E1172" w:rsidP="007321E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0</w:t>
            </w:r>
          </w:p>
        </w:tc>
        <w:tc>
          <w:tcPr>
            <w:tcW w:w="1440" w:type="dxa"/>
          </w:tcPr>
          <w:p w14:paraId="3EE08096" w14:textId="39BBEC95" w:rsidR="005E1172" w:rsidRPr="00AB440E" w:rsidRDefault="005E1172" w:rsidP="007321E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0</w:t>
            </w:r>
          </w:p>
        </w:tc>
        <w:tc>
          <w:tcPr>
            <w:tcW w:w="1440" w:type="dxa"/>
          </w:tcPr>
          <w:p w14:paraId="45B1C379" w14:textId="796FE5C5" w:rsidR="005E1172" w:rsidRPr="00AB440E" w:rsidRDefault="005E1172" w:rsidP="007321E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sidRPr="00AB440E">
              <w:rPr>
                <w:rFonts w:cstheme="minorHAnsi"/>
                <w:b w:val="0"/>
                <w:bCs/>
              </w:rPr>
              <w:t>0</w:t>
            </w:r>
          </w:p>
        </w:tc>
        <w:tc>
          <w:tcPr>
            <w:tcW w:w="1350" w:type="dxa"/>
          </w:tcPr>
          <w:p w14:paraId="4FA4CFA6" w14:textId="54CEA802" w:rsidR="005E1172" w:rsidRPr="00AB440E" w:rsidRDefault="005E1172" w:rsidP="007321E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AB440E">
              <w:rPr>
                <w:rFonts w:cstheme="minorHAnsi"/>
              </w:rPr>
              <w:t>0</w:t>
            </w:r>
          </w:p>
        </w:tc>
      </w:tr>
    </w:tbl>
    <w:p w14:paraId="52052D82" w14:textId="77777777" w:rsidR="00C26F6A" w:rsidRDefault="00C26F6A" w:rsidP="00603615">
      <w:pPr>
        <w:rPr>
          <w:color w:val="0072C6" w:themeColor="accent1"/>
          <w:sz w:val="28"/>
          <w:szCs w:val="28"/>
        </w:rPr>
      </w:pPr>
    </w:p>
    <w:tbl>
      <w:tblPr>
        <w:tblStyle w:val="BusinessPaper"/>
        <w:tblW w:w="0" w:type="auto"/>
        <w:tblLook w:val="04A0" w:firstRow="1" w:lastRow="0" w:firstColumn="1" w:lastColumn="0" w:noHBand="0" w:noVBand="1"/>
      </w:tblPr>
      <w:tblGrid>
        <w:gridCol w:w="3690"/>
        <w:gridCol w:w="6534"/>
      </w:tblGrid>
      <w:tr w:rsidR="00E2057B" w14:paraId="54198FEC" w14:textId="77777777" w:rsidTr="009F41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gridSpan w:val="2"/>
          </w:tcPr>
          <w:p w14:paraId="2D3E8FA6" w14:textId="4494AF31" w:rsidR="00E2057B" w:rsidRPr="00F12B59" w:rsidRDefault="00F12B59" w:rsidP="00603615">
            <w:pPr>
              <w:rPr>
                <w:rFonts w:asciiTheme="minorHAnsi" w:hAnsiTheme="minorHAnsi" w:cstheme="minorHAnsi"/>
                <w:b w:val="0"/>
                <w:bCs/>
                <w:color w:val="FDF9F7" w:themeColor="background2"/>
              </w:rPr>
            </w:pPr>
            <w:r>
              <w:rPr>
                <w:rFonts w:asciiTheme="minorHAnsi" w:hAnsiTheme="minorHAnsi" w:cstheme="minorHAnsi"/>
                <w:b w:val="0"/>
                <w:bCs/>
                <w:color w:val="FDF9F7" w:themeColor="background2"/>
              </w:rPr>
              <w:lastRenderedPageBreak/>
              <w:t>Clery Act Hate Crime Reporting</w:t>
            </w:r>
          </w:p>
        </w:tc>
      </w:tr>
      <w:tr w:rsidR="00E2057B" w14:paraId="752F5651" w14:textId="77777777" w:rsidTr="00CD613B">
        <w:tc>
          <w:tcPr>
            <w:cnfStyle w:val="001000000000" w:firstRow="0" w:lastRow="0" w:firstColumn="1" w:lastColumn="0" w:oddVBand="0" w:evenVBand="0" w:oddHBand="0" w:evenHBand="0" w:firstRowFirstColumn="0" w:firstRowLastColumn="0" w:lastRowFirstColumn="0" w:lastRowLastColumn="0"/>
            <w:tcW w:w="3690" w:type="dxa"/>
          </w:tcPr>
          <w:p w14:paraId="73B3288C" w14:textId="0DBA3EB3" w:rsidR="00E2057B" w:rsidRPr="00F12B59" w:rsidRDefault="00B61BFD" w:rsidP="00B61BFD">
            <w:pPr>
              <w:jc w:val="center"/>
              <w:rPr>
                <w:rFonts w:asciiTheme="minorHAnsi" w:hAnsiTheme="minorHAnsi" w:cstheme="minorHAnsi"/>
              </w:rPr>
            </w:pPr>
            <w:r>
              <w:rPr>
                <w:rFonts w:asciiTheme="minorHAnsi" w:hAnsiTheme="minorHAnsi" w:cstheme="minorHAnsi"/>
              </w:rPr>
              <w:t>202</w:t>
            </w:r>
            <w:r w:rsidR="001A2E10">
              <w:rPr>
                <w:rFonts w:asciiTheme="minorHAnsi" w:hAnsiTheme="minorHAnsi" w:cstheme="minorHAnsi"/>
              </w:rPr>
              <w:t>4</w:t>
            </w:r>
          </w:p>
        </w:tc>
        <w:tc>
          <w:tcPr>
            <w:tcW w:w="6534" w:type="dxa"/>
          </w:tcPr>
          <w:p w14:paraId="3B277E91" w14:textId="61AAE827" w:rsidR="00E2057B" w:rsidRPr="00B61BFD" w:rsidRDefault="00B61BFD" w:rsidP="00B61BFD">
            <w:pPr>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There were no Hate Crimes reported in 202</w:t>
            </w:r>
            <w:r w:rsidR="001A2E10">
              <w:rPr>
                <w:rFonts w:cstheme="minorHAnsi"/>
                <w:b w:val="0"/>
                <w:bCs/>
              </w:rPr>
              <w:t>4</w:t>
            </w:r>
            <w:r w:rsidR="00CD613B">
              <w:rPr>
                <w:rFonts w:cstheme="minorHAnsi"/>
                <w:b w:val="0"/>
                <w:bCs/>
              </w:rPr>
              <w:t>.</w:t>
            </w:r>
          </w:p>
        </w:tc>
      </w:tr>
      <w:tr w:rsidR="00E2057B" w14:paraId="30F15491" w14:textId="77777777" w:rsidTr="00CD613B">
        <w:tc>
          <w:tcPr>
            <w:cnfStyle w:val="001000000000" w:firstRow="0" w:lastRow="0" w:firstColumn="1" w:lastColumn="0" w:oddVBand="0" w:evenVBand="0" w:oddHBand="0" w:evenHBand="0" w:firstRowFirstColumn="0" w:firstRowLastColumn="0" w:lastRowFirstColumn="0" w:lastRowLastColumn="0"/>
            <w:tcW w:w="3690" w:type="dxa"/>
          </w:tcPr>
          <w:p w14:paraId="340F52DE" w14:textId="551ECF4D" w:rsidR="00E2057B" w:rsidRPr="00F12B59" w:rsidRDefault="00B61BFD" w:rsidP="00B61BFD">
            <w:pPr>
              <w:jc w:val="center"/>
              <w:rPr>
                <w:rFonts w:asciiTheme="minorHAnsi" w:hAnsiTheme="minorHAnsi" w:cstheme="minorHAnsi"/>
              </w:rPr>
            </w:pPr>
            <w:r>
              <w:rPr>
                <w:rFonts w:asciiTheme="minorHAnsi" w:hAnsiTheme="minorHAnsi" w:cstheme="minorHAnsi"/>
              </w:rPr>
              <w:t>202</w:t>
            </w:r>
            <w:r w:rsidR="001A2E10">
              <w:rPr>
                <w:rFonts w:asciiTheme="minorHAnsi" w:hAnsiTheme="minorHAnsi" w:cstheme="minorHAnsi"/>
              </w:rPr>
              <w:t>3</w:t>
            </w:r>
          </w:p>
        </w:tc>
        <w:tc>
          <w:tcPr>
            <w:tcW w:w="6534" w:type="dxa"/>
          </w:tcPr>
          <w:p w14:paraId="4AEAE8C9" w14:textId="45759558" w:rsidR="00E2057B" w:rsidRPr="00B61BFD" w:rsidRDefault="00CD613B" w:rsidP="00B61BFD">
            <w:pPr>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There were no Hate Crimes reported in 202</w:t>
            </w:r>
            <w:r w:rsidR="001A2E10">
              <w:rPr>
                <w:rFonts w:cstheme="minorHAnsi"/>
                <w:b w:val="0"/>
                <w:bCs/>
              </w:rPr>
              <w:t>3</w:t>
            </w:r>
            <w:r>
              <w:rPr>
                <w:rFonts w:cstheme="minorHAnsi"/>
                <w:b w:val="0"/>
                <w:bCs/>
              </w:rPr>
              <w:t>.</w:t>
            </w:r>
          </w:p>
        </w:tc>
      </w:tr>
      <w:tr w:rsidR="00E2057B" w14:paraId="6E49C539" w14:textId="77777777" w:rsidTr="00CD613B">
        <w:tc>
          <w:tcPr>
            <w:cnfStyle w:val="001000000000" w:firstRow="0" w:lastRow="0" w:firstColumn="1" w:lastColumn="0" w:oddVBand="0" w:evenVBand="0" w:oddHBand="0" w:evenHBand="0" w:firstRowFirstColumn="0" w:firstRowLastColumn="0" w:lastRowFirstColumn="0" w:lastRowLastColumn="0"/>
            <w:tcW w:w="3690" w:type="dxa"/>
          </w:tcPr>
          <w:p w14:paraId="35460795" w14:textId="7577F1B7" w:rsidR="00E2057B" w:rsidRPr="00F12B59" w:rsidRDefault="00B61BFD" w:rsidP="00B61BFD">
            <w:pPr>
              <w:jc w:val="center"/>
              <w:rPr>
                <w:rFonts w:asciiTheme="minorHAnsi" w:hAnsiTheme="minorHAnsi" w:cstheme="minorHAnsi"/>
              </w:rPr>
            </w:pPr>
            <w:r>
              <w:rPr>
                <w:rFonts w:asciiTheme="minorHAnsi" w:hAnsiTheme="minorHAnsi" w:cstheme="minorHAnsi"/>
              </w:rPr>
              <w:t>20</w:t>
            </w:r>
            <w:r w:rsidR="00277548">
              <w:rPr>
                <w:rFonts w:asciiTheme="minorHAnsi" w:hAnsiTheme="minorHAnsi" w:cstheme="minorHAnsi"/>
              </w:rPr>
              <w:t>2</w:t>
            </w:r>
            <w:r w:rsidR="001A2E10">
              <w:rPr>
                <w:rFonts w:asciiTheme="minorHAnsi" w:hAnsiTheme="minorHAnsi" w:cstheme="minorHAnsi"/>
              </w:rPr>
              <w:t>2</w:t>
            </w:r>
          </w:p>
        </w:tc>
        <w:tc>
          <w:tcPr>
            <w:tcW w:w="6534" w:type="dxa"/>
          </w:tcPr>
          <w:p w14:paraId="5A9DAEDA" w14:textId="0ECC8DC6" w:rsidR="00E2057B" w:rsidRPr="00B61BFD" w:rsidRDefault="00CD613B" w:rsidP="00B61BFD">
            <w:pPr>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 xml:space="preserve">There were no Hate Crimes </w:t>
            </w:r>
            <w:r w:rsidR="00525340">
              <w:rPr>
                <w:rFonts w:cstheme="minorHAnsi"/>
                <w:b w:val="0"/>
                <w:bCs/>
              </w:rPr>
              <w:t xml:space="preserve">reported </w:t>
            </w:r>
            <w:r>
              <w:rPr>
                <w:rFonts w:cstheme="minorHAnsi"/>
                <w:b w:val="0"/>
                <w:bCs/>
              </w:rPr>
              <w:t>in 20</w:t>
            </w:r>
            <w:r w:rsidR="00277548">
              <w:rPr>
                <w:rFonts w:cstheme="minorHAnsi"/>
                <w:b w:val="0"/>
                <w:bCs/>
              </w:rPr>
              <w:t>2</w:t>
            </w:r>
            <w:r w:rsidR="001A2E10">
              <w:rPr>
                <w:rFonts w:cstheme="minorHAnsi"/>
                <w:b w:val="0"/>
                <w:bCs/>
              </w:rPr>
              <w:t>2</w:t>
            </w:r>
            <w:r>
              <w:rPr>
                <w:rFonts w:cstheme="minorHAnsi"/>
                <w:b w:val="0"/>
                <w:bCs/>
              </w:rPr>
              <w:t>.</w:t>
            </w:r>
          </w:p>
        </w:tc>
      </w:tr>
    </w:tbl>
    <w:p w14:paraId="05D8496F" w14:textId="7160537F" w:rsidR="00982B21" w:rsidRPr="00525340" w:rsidRDefault="00982B21" w:rsidP="00603615">
      <w:pPr>
        <w:rPr>
          <w:color w:val="0072C6" w:themeColor="accent1"/>
          <w:sz w:val="28"/>
          <w:szCs w:val="28"/>
        </w:rPr>
      </w:pPr>
    </w:p>
    <w:tbl>
      <w:tblPr>
        <w:tblStyle w:val="BusinessPaper"/>
        <w:tblW w:w="0" w:type="auto"/>
        <w:tblLook w:val="04A0" w:firstRow="1" w:lastRow="0" w:firstColumn="1" w:lastColumn="0" w:noHBand="0" w:noVBand="1"/>
      </w:tblPr>
      <w:tblGrid>
        <w:gridCol w:w="3690"/>
        <w:gridCol w:w="6534"/>
      </w:tblGrid>
      <w:tr w:rsidR="001D40B4" w14:paraId="63DF2847" w14:textId="77777777" w:rsidTr="009F41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gridSpan w:val="2"/>
          </w:tcPr>
          <w:p w14:paraId="3E26718E" w14:textId="5D130387" w:rsidR="001D40B4" w:rsidRPr="001D40B4" w:rsidRDefault="001D40B4" w:rsidP="00080657">
            <w:pPr>
              <w:rPr>
                <w:rFonts w:asciiTheme="minorHAnsi" w:hAnsiTheme="minorHAnsi" w:cstheme="minorHAnsi"/>
                <w:b w:val="0"/>
                <w:bCs/>
                <w:color w:val="FDF9F7" w:themeColor="background2"/>
              </w:rPr>
            </w:pPr>
            <w:r>
              <w:rPr>
                <w:rFonts w:asciiTheme="minorHAnsi" w:hAnsiTheme="minorHAnsi" w:cstheme="minorHAnsi"/>
                <w:b w:val="0"/>
                <w:bCs/>
                <w:color w:val="FDF9F7" w:themeColor="background2"/>
              </w:rPr>
              <w:t>Clery Act Unfounded Crime Reporting</w:t>
            </w:r>
          </w:p>
        </w:tc>
      </w:tr>
      <w:tr w:rsidR="001D40B4" w14:paraId="77339B1A" w14:textId="77777777" w:rsidTr="001D40B4">
        <w:tc>
          <w:tcPr>
            <w:cnfStyle w:val="001000000000" w:firstRow="0" w:lastRow="0" w:firstColumn="1" w:lastColumn="0" w:oddVBand="0" w:evenVBand="0" w:oddHBand="0" w:evenHBand="0" w:firstRowFirstColumn="0" w:firstRowLastColumn="0" w:lastRowFirstColumn="0" w:lastRowLastColumn="0"/>
            <w:tcW w:w="3690" w:type="dxa"/>
          </w:tcPr>
          <w:p w14:paraId="031927E1" w14:textId="1B45A8D3" w:rsidR="001D40B4" w:rsidRPr="001D40B4" w:rsidRDefault="00DD022C" w:rsidP="001D40B4">
            <w:pPr>
              <w:jc w:val="center"/>
              <w:rPr>
                <w:rFonts w:asciiTheme="minorHAnsi" w:hAnsiTheme="minorHAnsi" w:cstheme="minorHAnsi"/>
              </w:rPr>
            </w:pPr>
            <w:r>
              <w:rPr>
                <w:rFonts w:asciiTheme="minorHAnsi" w:hAnsiTheme="minorHAnsi" w:cstheme="minorHAnsi"/>
              </w:rPr>
              <w:t>202</w:t>
            </w:r>
            <w:r w:rsidR="001A2E10">
              <w:rPr>
                <w:rFonts w:asciiTheme="minorHAnsi" w:hAnsiTheme="minorHAnsi" w:cstheme="minorHAnsi"/>
              </w:rPr>
              <w:t>4</w:t>
            </w:r>
          </w:p>
        </w:tc>
        <w:tc>
          <w:tcPr>
            <w:tcW w:w="6534" w:type="dxa"/>
          </w:tcPr>
          <w:p w14:paraId="771B8E6B" w14:textId="45C7CC19" w:rsidR="001D40B4" w:rsidRPr="00DD022C" w:rsidRDefault="00DD022C" w:rsidP="001D40B4">
            <w:pPr>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No Unfounded Clery crime reports.</w:t>
            </w:r>
          </w:p>
        </w:tc>
      </w:tr>
      <w:tr w:rsidR="001D40B4" w14:paraId="7D0CDA6B" w14:textId="77777777" w:rsidTr="001D40B4">
        <w:tc>
          <w:tcPr>
            <w:cnfStyle w:val="001000000000" w:firstRow="0" w:lastRow="0" w:firstColumn="1" w:lastColumn="0" w:oddVBand="0" w:evenVBand="0" w:oddHBand="0" w:evenHBand="0" w:firstRowFirstColumn="0" w:firstRowLastColumn="0" w:lastRowFirstColumn="0" w:lastRowLastColumn="0"/>
            <w:tcW w:w="3690" w:type="dxa"/>
          </w:tcPr>
          <w:p w14:paraId="11D22B82" w14:textId="3E27491E" w:rsidR="001D40B4" w:rsidRPr="001D40B4" w:rsidRDefault="00DD022C" w:rsidP="001D40B4">
            <w:pPr>
              <w:jc w:val="center"/>
              <w:rPr>
                <w:rFonts w:asciiTheme="minorHAnsi" w:hAnsiTheme="minorHAnsi" w:cstheme="minorHAnsi"/>
              </w:rPr>
            </w:pPr>
            <w:r>
              <w:rPr>
                <w:rFonts w:asciiTheme="minorHAnsi" w:hAnsiTheme="minorHAnsi" w:cstheme="minorHAnsi"/>
              </w:rPr>
              <w:t>202</w:t>
            </w:r>
            <w:r w:rsidR="001A2E10">
              <w:rPr>
                <w:rFonts w:asciiTheme="minorHAnsi" w:hAnsiTheme="minorHAnsi" w:cstheme="minorHAnsi"/>
              </w:rPr>
              <w:t>3</w:t>
            </w:r>
          </w:p>
        </w:tc>
        <w:tc>
          <w:tcPr>
            <w:tcW w:w="6534" w:type="dxa"/>
          </w:tcPr>
          <w:p w14:paraId="46DBE5D4" w14:textId="1A6095A8" w:rsidR="001D40B4" w:rsidRPr="00DD022C" w:rsidRDefault="00DD022C" w:rsidP="001D40B4">
            <w:pPr>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No unfounded Clery crime reports.</w:t>
            </w:r>
          </w:p>
        </w:tc>
      </w:tr>
      <w:tr w:rsidR="001D40B4" w14:paraId="305C6F6A" w14:textId="77777777" w:rsidTr="001D40B4">
        <w:tc>
          <w:tcPr>
            <w:cnfStyle w:val="001000000000" w:firstRow="0" w:lastRow="0" w:firstColumn="1" w:lastColumn="0" w:oddVBand="0" w:evenVBand="0" w:oddHBand="0" w:evenHBand="0" w:firstRowFirstColumn="0" w:firstRowLastColumn="0" w:lastRowFirstColumn="0" w:lastRowLastColumn="0"/>
            <w:tcW w:w="3690" w:type="dxa"/>
          </w:tcPr>
          <w:p w14:paraId="712423FE" w14:textId="45C829EA" w:rsidR="001D40B4" w:rsidRPr="001D40B4" w:rsidRDefault="00DD022C" w:rsidP="001D40B4">
            <w:pPr>
              <w:jc w:val="center"/>
              <w:rPr>
                <w:rFonts w:asciiTheme="minorHAnsi" w:hAnsiTheme="minorHAnsi" w:cstheme="minorHAnsi"/>
              </w:rPr>
            </w:pPr>
            <w:r>
              <w:rPr>
                <w:rFonts w:asciiTheme="minorHAnsi" w:hAnsiTheme="minorHAnsi" w:cstheme="minorHAnsi"/>
              </w:rPr>
              <w:t>20</w:t>
            </w:r>
            <w:r w:rsidR="00277548">
              <w:rPr>
                <w:rFonts w:asciiTheme="minorHAnsi" w:hAnsiTheme="minorHAnsi" w:cstheme="minorHAnsi"/>
              </w:rPr>
              <w:t>2</w:t>
            </w:r>
            <w:r w:rsidR="001A2E10">
              <w:rPr>
                <w:rFonts w:asciiTheme="minorHAnsi" w:hAnsiTheme="minorHAnsi" w:cstheme="minorHAnsi"/>
              </w:rPr>
              <w:t>2</w:t>
            </w:r>
          </w:p>
        </w:tc>
        <w:tc>
          <w:tcPr>
            <w:tcW w:w="6534" w:type="dxa"/>
          </w:tcPr>
          <w:p w14:paraId="1285C17C" w14:textId="0D07F1C1" w:rsidR="001D40B4" w:rsidRPr="00DD022C" w:rsidRDefault="00DD022C" w:rsidP="001D40B4">
            <w:pPr>
              <w:jc w:val="center"/>
              <w:cnfStyle w:val="000000000000" w:firstRow="0" w:lastRow="0" w:firstColumn="0" w:lastColumn="0" w:oddVBand="0" w:evenVBand="0" w:oddHBand="0" w:evenHBand="0" w:firstRowFirstColumn="0" w:firstRowLastColumn="0" w:lastRowFirstColumn="0" w:lastRowLastColumn="0"/>
              <w:rPr>
                <w:rFonts w:cstheme="minorHAnsi"/>
                <w:b w:val="0"/>
                <w:bCs/>
              </w:rPr>
            </w:pPr>
            <w:r>
              <w:rPr>
                <w:rFonts w:cstheme="minorHAnsi"/>
                <w:b w:val="0"/>
                <w:bCs/>
              </w:rPr>
              <w:t>No unfounded Clery crime reports.</w:t>
            </w:r>
          </w:p>
        </w:tc>
      </w:tr>
    </w:tbl>
    <w:p w14:paraId="5688422D" w14:textId="77777777" w:rsidR="00210BAB" w:rsidRDefault="00210BAB" w:rsidP="00B81FBD">
      <w:pPr>
        <w:pStyle w:val="Heading2"/>
        <w:rPr>
          <w:rFonts w:asciiTheme="minorHAnsi" w:hAnsiTheme="minorHAnsi" w:cstheme="minorHAnsi"/>
          <w:sz w:val="24"/>
          <w:szCs w:val="24"/>
        </w:rPr>
      </w:pPr>
    </w:p>
    <w:p w14:paraId="0D23B1B0" w14:textId="493A241D" w:rsidR="00DD022C" w:rsidRPr="00B81FBD" w:rsidRDefault="007E3A5E" w:rsidP="00B81FBD">
      <w:pPr>
        <w:pStyle w:val="Heading2"/>
        <w:rPr>
          <w:rFonts w:asciiTheme="minorHAnsi" w:hAnsiTheme="minorHAnsi" w:cstheme="minorHAnsi"/>
          <w:sz w:val="24"/>
          <w:szCs w:val="24"/>
        </w:rPr>
      </w:pPr>
      <w:bookmarkStart w:id="75" w:name="_Toc209014426"/>
      <w:r w:rsidRPr="00B81FBD">
        <w:rPr>
          <w:rFonts w:asciiTheme="minorHAnsi" w:hAnsiTheme="minorHAnsi" w:cstheme="minorHAnsi"/>
          <w:sz w:val="24"/>
          <w:szCs w:val="24"/>
        </w:rPr>
        <w:t>16.3</w:t>
      </w:r>
      <w:r w:rsidRPr="00B81FBD">
        <w:rPr>
          <w:rFonts w:asciiTheme="minorHAnsi" w:hAnsiTheme="minorHAnsi" w:cstheme="minorHAnsi"/>
          <w:sz w:val="24"/>
          <w:szCs w:val="24"/>
        </w:rPr>
        <w:tab/>
        <w:t>CLERY ACT GEOGRAPHY</w:t>
      </w:r>
      <w:bookmarkEnd w:id="75"/>
    </w:p>
    <w:p w14:paraId="68B440F1" w14:textId="42899FC6" w:rsidR="007E3A5E" w:rsidRDefault="00341F6D" w:rsidP="00080657">
      <w:r>
        <w:t xml:space="preserve">The Clery Act mandates the collection, classification, and reporting of crime reports for alleged crimes that occurred on </w:t>
      </w:r>
      <w:r w:rsidR="0085734D">
        <w:t>College</w:t>
      </w:r>
      <w:r>
        <w:t>-affiliated property.  B</w:t>
      </w:r>
      <w:r w:rsidR="004A3BEA">
        <w:t>uildings and property that are considered “</w:t>
      </w:r>
      <w:r w:rsidR="0085734D">
        <w:t>College</w:t>
      </w:r>
      <w:r w:rsidR="004A3BEA">
        <w:t xml:space="preserve">-affiliated” are broken down into categories </w:t>
      </w:r>
      <w:r w:rsidR="00F17B28">
        <w:t>known</w:t>
      </w:r>
      <w:r w:rsidR="004A3BEA">
        <w:t xml:space="preserve"> as “Clery Act geography.”  The following are descriptions of Clery Act geographic locations.  Please reference the </w:t>
      </w:r>
      <w:r w:rsidR="004A3BEA" w:rsidRPr="004A3BEA">
        <w:rPr>
          <w:b/>
          <w:bCs/>
        </w:rPr>
        <w:t>Clery Act Geography Maps</w:t>
      </w:r>
      <w:r w:rsidR="004A3BEA">
        <w:rPr>
          <w:b/>
          <w:bCs/>
        </w:rPr>
        <w:t xml:space="preserve"> </w:t>
      </w:r>
      <w:r w:rsidR="0048390F">
        <w:t>in the Appendix for additional detail on College Clery Act geography.</w:t>
      </w:r>
    </w:p>
    <w:p w14:paraId="764B0BBE" w14:textId="56522088" w:rsidR="0085734D" w:rsidRDefault="0085734D" w:rsidP="00080657">
      <w:r>
        <w:rPr>
          <w:b/>
          <w:bCs/>
        </w:rPr>
        <w:t>On-Campus</w:t>
      </w:r>
      <w:r w:rsidR="00CE57DE">
        <w:rPr>
          <w:b/>
          <w:bCs/>
        </w:rPr>
        <w:t xml:space="preserve">: </w:t>
      </w:r>
      <w:r w:rsidR="00CE57DE">
        <w:t>(i) any building or property owned or controlled by NHSC within the same reasonably contiguous geographic area are used by the institution in direct support of, or in a manner related to, the institution’s educational purposes</w:t>
      </w:r>
      <w:r w:rsidR="00154420">
        <w:t>, including residence halls; and (ii) any building or property that is within or reasonably</w:t>
      </w:r>
      <w:r w:rsidR="009B4353">
        <w:t xml:space="preserve"> contiguous to the area identified in (i) of this definition, that is owned by </w:t>
      </w:r>
      <w:r w:rsidR="002866B0">
        <w:t>NHSC but controlled by another person, is frequently used by students, and supports institutional purposes (such as a food or other retail vendor).</w:t>
      </w:r>
    </w:p>
    <w:p w14:paraId="7C5F0726" w14:textId="118AB1F9" w:rsidR="007273BC" w:rsidRDefault="007273BC" w:rsidP="00080657">
      <w:r>
        <w:rPr>
          <w:b/>
          <w:bCs/>
        </w:rPr>
        <w:lastRenderedPageBreak/>
        <w:t xml:space="preserve">Public Property:  </w:t>
      </w:r>
      <w:r>
        <w:t>all public property, including thoroughfares, streets, sidewalks, and parking facilities, which is within the campus or immediately adjacent to and accessib</w:t>
      </w:r>
      <w:r w:rsidR="001E5500">
        <w:t>le from campus.</w:t>
      </w:r>
    </w:p>
    <w:p w14:paraId="262E26A8" w14:textId="24792EB3" w:rsidR="001E5500" w:rsidRDefault="001E5500" w:rsidP="00080657">
      <w:r>
        <w:rPr>
          <w:b/>
          <w:bCs/>
        </w:rPr>
        <w:t xml:space="preserve">Non-Campus Building and Property:  </w:t>
      </w:r>
      <w:r>
        <w:t xml:space="preserve">(i) any building or property owned or controlled by a student organization that is officially recognized by the institution, or (ii) any building or property owned or controlled by NHSC is used in direct support of, or in </w:t>
      </w:r>
      <w:r w:rsidR="00C84811">
        <w:t>relation to, the institution’s educational purposes, is frequently used by students, and is not within the same reasonably contiguous geographic area of the institution.  Non-campus locations fall within the jurisdiction</w:t>
      </w:r>
      <w:r w:rsidR="006C1437">
        <w:t>, protection, and reporting responsibility of different law enforcement agencies ( in different cities, counties, states, and/or countries), depending on where the buildings and property are located.  On an annual basis, the Campus Safety Office makes a good faith effort to identify all geographic locations that fit within the non-campus Clery geographic definition and request Clery crime statistic data from all outside law enforcement agencies that have jurisdiction over thos</w:t>
      </w:r>
      <w:r w:rsidR="00C1200B">
        <w:t>e</w:t>
      </w:r>
      <w:r w:rsidR="006C1437">
        <w:t xml:space="preserve"> non</w:t>
      </w:r>
      <w:r w:rsidR="00C1200B">
        <w:t>-campus locations.</w:t>
      </w:r>
    </w:p>
    <w:p w14:paraId="4307CC33" w14:textId="266A425B" w:rsidR="00C1200B" w:rsidRPr="00B81FBD" w:rsidRDefault="00C1200B" w:rsidP="00B81FBD">
      <w:pPr>
        <w:pStyle w:val="Heading2"/>
        <w:rPr>
          <w:rFonts w:asciiTheme="minorHAnsi" w:hAnsiTheme="minorHAnsi" w:cstheme="minorHAnsi"/>
          <w:sz w:val="24"/>
          <w:szCs w:val="24"/>
        </w:rPr>
      </w:pPr>
      <w:bookmarkStart w:id="76" w:name="_Toc209014427"/>
      <w:r w:rsidRPr="00B81FBD">
        <w:rPr>
          <w:rFonts w:asciiTheme="minorHAnsi" w:hAnsiTheme="minorHAnsi" w:cstheme="minorHAnsi"/>
          <w:sz w:val="24"/>
          <w:szCs w:val="24"/>
        </w:rPr>
        <w:t>16.4</w:t>
      </w:r>
      <w:r w:rsidRPr="00B81FBD">
        <w:rPr>
          <w:rFonts w:asciiTheme="minorHAnsi" w:hAnsiTheme="minorHAnsi" w:cstheme="minorHAnsi"/>
          <w:sz w:val="24"/>
          <w:szCs w:val="24"/>
        </w:rPr>
        <w:tab/>
        <w:t>CLERY ACT CRIME DEFINITIONS</w:t>
      </w:r>
      <w:bookmarkEnd w:id="76"/>
    </w:p>
    <w:p w14:paraId="4A849155" w14:textId="42CB7F3D" w:rsidR="00652964" w:rsidRDefault="00376C32" w:rsidP="00652964">
      <w:r>
        <w:t>The Clery Act applies the crime definitions from the Federal B</w:t>
      </w:r>
      <w:r w:rsidR="00522F91">
        <w:t>ureau of Investigation’s (FBI’s) Uniform Crime Reporting (UCR)</w:t>
      </w:r>
      <w:r w:rsidR="00D709DE">
        <w:t xml:space="preserve"> Program when classifying and counting Clery crimes.  The </w:t>
      </w:r>
      <w:r w:rsidR="00D709DE" w:rsidRPr="00BF3B2E">
        <w:rPr>
          <w:b/>
          <w:bCs/>
        </w:rPr>
        <w:t>definitions for murder/non-negligent mans</w:t>
      </w:r>
      <w:r w:rsidR="00172292" w:rsidRPr="00BF3B2E">
        <w:rPr>
          <w:b/>
          <w:bCs/>
        </w:rPr>
        <w:t>laughter, manslaughter by negligence, rape, robbery,</w:t>
      </w:r>
      <w:r w:rsidR="00172292">
        <w:t xml:space="preserve"> aggravated assault, burglary, motor vehicle theft, arson, weapons law violations, drug law violations, and liquor law violations are from the “Summary Reporting System (SRS) User Manual”</w:t>
      </w:r>
      <w:r w:rsidR="009A074C">
        <w:t xml:space="preserve"> of the UCR Program.  The definition of fondling, incest, statutory rape </w:t>
      </w:r>
      <w:r w:rsidR="00F17B28">
        <w:t>is</w:t>
      </w:r>
      <w:r w:rsidR="009A074C">
        <w:t xml:space="preserve"> from the “National Incident-Based Reporting System (NIBR</w:t>
      </w:r>
      <w:r w:rsidR="008F5175">
        <w:t>S) Data Collections Guidelines” of the UCR Program.  The definitions of hate crimes are from the “Hate Crime Data Colle</w:t>
      </w:r>
      <w:r w:rsidR="006B50A9">
        <w:t>ction Guidelines and Training Manual” of the UCR Program.  The definitions of dating violence, domestic violence, and stalking (for purposes of Clery Act crime statistics reporting) are from the Violence Against Women Act of 1994 Code of Federal Regulations 668.</w:t>
      </w:r>
      <w:r w:rsidR="000C500C">
        <w:t xml:space="preserve">46(a).  It should be noted that Clery crime definitions used for compiling Clery crime statistics are different than state crime definitions that may be used by law enforcement authorities and prosecutorial agencies as well as </w:t>
      </w:r>
      <w:r w:rsidR="007801F0">
        <w:t>College administrative policy definitions for certain crimes.</w:t>
      </w:r>
    </w:p>
    <w:p w14:paraId="35F5D3EC" w14:textId="5C0AE62F" w:rsidR="007801F0" w:rsidRDefault="007801F0" w:rsidP="00652964">
      <w:r>
        <w:lastRenderedPageBreak/>
        <w:t>The Clery crime definitions and counting rules are as follows:</w:t>
      </w:r>
    </w:p>
    <w:p w14:paraId="5272AC17" w14:textId="1AC80DDD" w:rsidR="007801F0" w:rsidRDefault="007801F0" w:rsidP="00652964">
      <w:r>
        <w:rPr>
          <w:b/>
          <w:bCs/>
        </w:rPr>
        <w:t xml:space="preserve">Murder/Non-Negligent Manslaughter: </w:t>
      </w:r>
      <w:r w:rsidR="00C16EC8">
        <w:t>The willful (non-negligent) killing of one human being by another.  Any death caused by injuries received in a fight, argument, quarrel, or the commission of a crime is counted as a murder/non-negligent manslaughter.  One offense per victim is counted.</w:t>
      </w:r>
    </w:p>
    <w:p w14:paraId="5D4EC1C7" w14:textId="07C889CA" w:rsidR="00C16EC8" w:rsidRDefault="00C16EC8" w:rsidP="00652964">
      <w:r>
        <w:rPr>
          <w:b/>
          <w:bCs/>
        </w:rPr>
        <w:t xml:space="preserve">Manslaughter by Negligence: </w:t>
      </w:r>
      <w:r>
        <w:t>The killing of another person through gross negligence.  Any death caused by the gross negligence of another is counted as Manslaughter by Negligence.  One offense per victim is counted.</w:t>
      </w:r>
    </w:p>
    <w:p w14:paraId="2918F170" w14:textId="335ACE32" w:rsidR="00C16EC8" w:rsidRDefault="00BF3B2E" w:rsidP="00652964">
      <w:r>
        <w:rPr>
          <w:b/>
          <w:bCs/>
        </w:rPr>
        <w:t xml:space="preserve">Sexual Assault (Sex Offenses): </w:t>
      </w:r>
      <w:r>
        <w:t xml:space="preserve">Any sexual </w:t>
      </w:r>
      <w:r w:rsidR="008722BE">
        <w:t>act directed against another person, without consent of the victim, including instances where the victim is incapable of giving consent.  Attempted sex</w:t>
      </w:r>
      <w:r w:rsidR="00B50D06">
        <w:t>ual assaults of the following types are counted as statistics of crime.  This definition includes male and female victims.</w:t>
      </w:r>
    </w:p>
    <w:p w14:paraId="62D531FE" w14:textId="5A85DD54" w:rsidR="00B50D06" w:rsidRDefault="00B50D06" w:rsidP="006A64BD">
      <w:pPr>
        <w:pStyle w:val="ListParagraph"/>
        <w:numPr>
          <w:ilvl w:val="0"/>
          <w:numId w:val="67"/>
        </w:numPr>
      </w:pPr>
      <w:r>
        <w:rPr>
          <w:b/>
          <w:bCs/>
        </w:rPr>
        <w:t xml:space="preserve">Rape: </w:t>
      </w:r>
      <w:r>
        <w:t xml:space="preserve">Penetration, no matter how slight, of the vagina or anus with any body part or object, or oral penetration by a sex organ of another person, without the consent of the victim.  This definition includes any </w:t>
      </w:r>
      <w:r w:rsidR="008B5CB2">
        <w:t>gender, victim,</w:t>
      </w:r>
      <w:r>
        <w:t xml:space="preserve"> or perpetrator.  This definition of Rape now includes “Sodomy” and “Sexual Assault with and Object” crime definitions.  One offense per victim is counted.</w:t>
      </w:r>
    </w:p>
    <w:p w14:paraId="444E5098" w14:textId="3E2EFB7B" w:rsidR="00B50D06" w:rsidRDefault="00B50D06" w:rsidP="006A64BD">
      <w:pPr>
        <w:pStyle w:val="ListParagraph"/>
        <w:numPr>
          <w:ilvl w:val="0"/>
          <w:numId w:val="67"/>
        </w:numPr>
      </w:pPr>
      <w:r>
        <w:rPr>
          <w:b/>
          <w:bCs/>
        </w:rPr>
        <w:t>Fondling:</w:t>
      </w:r>
      <w:r>
        <w:t xml:space="preserve"> The touching of the private body parts of another person for the purpose of sexual gratification</w:t>
      </w:r>
      <w:r w:rsidR="00E76E18">
        <w:t xml:space="preserve">, without the consent of the victim, including instances where the victim is incapable of giving consent </w:t>
      </w:r>
      <w:r w:rsidR="001A2E10">
        <w:t>because of</w:t>
      </w:r>
      <w:r w:rsidR="00E76E18">
        <w:t xml:space="preserve"> his/her age or because</w:t>
      </w:r>
      <w:r w:rsidR="00E44F8B">
        <w:t xml:space="preserve"> of his/her temporary or permanent incapacity.  Once offense per victi</w:t>
      </w:r>
      <w:r w:rsidR="00C3464F">
        <w:t>m</w:t>
      </w:r>
      <w:r w:rsidR="00E44F8B">
        <w:t xml:space="preserve"> is counted</w:t>
      </w:r>
      <w:r w:rsidR="00C3464F">
        <w:t>.</w:t>
      </w:r>
    </w:p>
    <w:p w14:paraId="600FD1EE" w14:textId="56971D19" w:rsidR="00C3464F" w:rsidRDefault="00C3464F" w:rsidP="006A64BD">
      <w:pPr>
        <w:pStyle w:val="ListParagraph"/>
        <w:numPr>
          <w:ilvl w:val="0"/>
          <w:numId w:val="67"/>
        </w:numPr>
      </w:pPr>
      <w:r>
        <w:rPr>
          <w:b/>
          <w:bCs/>
        </w:rPr>
        <w:t>Incest:</w:t>
      </w:r>
      <w:r>
        <w:t xml:space="preserve"> Sexual intercourse between persons who are related to each other within the degrees wherein</w:t>
      </w:r>
      <w:r w:rsidR="00AC379D">
        <w:t xml:space="preserve"> marriage is prohibited by law.  One offense per victim is counted.</w:t>
      </w:r>
    </w:p>
    <w:p w14:paraId="39D4511B" w14:textId="7E4439BF" w:rsidR="00AC379D" w:rsidRDefault="00AC379D" w:rsidP="006A64BD">
      <w:pPr>
        <w:pStyle w:val="ListParagraph"/>
        <w:numPr>
          <w:ilvl w:val="0"/>
          <w:numId w:val="67"/>
        </w:numPr>
      </w:pPr>
      <w:r>
        <w:rPr>
          <w:b/>
          <w:bCs/>
        </w:rPr>
        <w:t>Statutory Rape:</w:t>
      </w:r>
      <w:r>
        <w:t xml:space="preserve"> Sexual intercourse with a person who is under the statutory age of consent.  One offense per victim is counted.</w:t>
      </w:r>
    </w:p>
    <w:p w14:paraId="2396BAFC" w14:textId="1A684EBF" w:rsidR="00B54D05" w:rsidRDefault="00B54D05" w:rsidP="00536742">
      <w:pPr>
        <w:ind w:left="360"/>
      </w:pPr>
      <w:r w:rsidRPr="00536742">
        <w:rPr>
          <w:b/>
          <w:bCs/>
        </w:rPr>
        <w:lastRenderedPageBreak/>
        <w:t>Robbery:</w:t>
      </w:r>
      <w:r>
        <w:t xml:space="preserve"> The taking or attempting to take anything of value from the care, custody, or control of a person or persons by force or threat of force or violence and/or by putting the victim in fear.  In any instance of Robbery, one offense for each distinct operation (i.e., incident) is counted, including attempts.  The number of victims robbed, the number of those present at the robbery, and the number of offenders is not counted.</w:t>
      </w:r>
    </w:p>
    <w:p w14:paraId="45162BDC" w14:textId="2EA1C0B1" w:rsidR="00B54D05" w:rsidRDefault="00B54D05" w:rsidP="009B311D">
      <w:pPr>
        <w:ind w:left="360"/>
      </w:pPr>
      <w:r w:rsidRPr="009B311D">
        <w:rPr>
          <w:b/>
          <w:bCs/>
        </w:rPr>
        <w:t>Aggravated Assault:</w:t>
      </w:r>
      <w:r>
        <w:t xml:space="preserve"> An unlawful attack by one person upon another for the purpose of inflicting severe or aggravated bodily injury (includes attempts and whether or not an injury has occurred).  This type of assault usually is accompanied by the use of a weapon or by means likely to produce death or great bodily harm.  One offense per victim is counted.  If a number of persons are inv</w:t>
      </w:r>
      <w:r w:rsidR="00AF595D">
        <w:t>olved in a dispute or disturbance, and the aggressors cannot be distinguished from the victims, the number of persons assaulted are counted as the number of offenses.  Assaults or attempts to kill</w:t>
      </w:r>
      <w:r w:rsidR="008D6AF7">
        <w:t xml:space="preserve"> or murder, poisoning (including the use of date rape drugs), assault with a dangerous or deadly weapon, maiming, mayhem, assault with explosives, and assault with disease are counted as aggravated assaults.</w:t>
      </w:r>
    </w:p>
    <w:p w14:paraId="64F39F61" w14:textId="0E6A0ED6" w:rsidR="007F7657" w:rsidRDefault="007F7657" w:rsidP="009B311D">
      <w:pPr>
        <w:ind w:left="360"/>
      </w:pPr>
      <w:r w:rsidRPr="009B311D">
        <w:rPr>
          <w:b/>
          <w:bCs/>
        </w:rPr>
        <w:t>Burglary:</w:t>
      </w:r>
      <w:r>
        <w:t xml:space="preserve"> The unlawful entry of a structure to commit a felony or a theft (this definition excludes burglary/thefts from vehicles).  An incident must meet three conditions to be classified</w:t>
      </w:r>
      <w:r w:rsidR="003C013E">
        <w:t xml:space="preserve"> as a burglary; (1) there must be evidence of unlawful entry (trespass).  Both “forcible entry” and “unlawful entry – no force” are counted.  This means that the person did not have the right to be in the structure at the time the incident occurred; (2) the unlawful</w:t>
      </w:r>
      <w:r w:rsidR="003326E3">
        <w:t xml:space="preserve"> entry must occur within a structure (a structure is defined as having four walls, a roof, and a door); and (3) the structure was unlawfully entered to commit a felony or theft.  One offense per each distinct operation is counted.  Burglaries in individual student rooms are considered separate offenses.  For</w:t>
      </w:r>
      <w:r w:rsidR="00C95A99">
        <w:t xml:space="preserve"> burglaries in suites, each bedroom and the common area in a student</w:t>
      </w:r>
      <w:r w:rsidR="00DF5E41">
        <w:t xml:space="preserve"> housing suite is considered a separate </w:t>
      </w:r>
      <w:r w:rsidR="009A0DEE">
        <w:t>dwelling.  The burglary of an academic structure is counted as one offense, regardless of the number of interior rooms entered or items stolen if the rooms were all burglarized during the same time frame.</w:t>
      </w:r>
    </w:p>
    <w:p w14:paraId="125773A4" w14:textId="15C7D4A1" w:rsidR="009A0DEE" w:rsidRDefault="009A0DEE" w:rsidP="009B311D">
      <w:pPr>
        <w:ind w:left="360"/>
      </w:pPr>
      <w:r w:rsidRPr="009B311D">
        <w:rPr>
          <w:b/>
          <w:bCs/>
        </w:rPr>
        <w:lastRenderedPageBreak/>
        <w:t>Motor Vehicle Theft:</w:t>
      </w:r>
      <w:r>
        <w:t xml:space="preserve"> The theft or attempted theft of a motor vehicle.  This applies to any self-propelled vehicle that runs on land surface and not on rails (includes all joy-riding</w:t>
      </w:r>
      <w:r w:rsidR="00A53F7D">
        <w:t xml:space="preserve"> incidents and attempts).  One offense for each stolen vehicle is counted.</w:t>
      </w:r>
    </w:p>
    <w:p w14:paraId="4C7E89B9" w14:textId="60EA46A7" w:rsidR="00A53F7D" w:rsidRDefault="00A53F7D" w:rsidP="009B311D">
      <w:pPr>
        <w:ind w:left="360"/>
      </w:pPr>
      <w:r w:rsidRPr="009B311D">
        <w:rPr>
          <w:b/>
          <w:bCs/>
        </w:rPr>
        <w:t>Arson:</w:t>
      </w:r>
      <w:r>
        <w:t xml:space="preserve"> Any willful or malicious burning or attempt to burn, with or without intent to defraud, a dwelling house, public building, motor vehicle or aircraft, personal property of another</w:t>
      </w:r>
      <w:r w:rsidR="008A0F50">
        <w:t xml:space="preserve">, etc. </w:t>
      </w:r>
      <w:r w:rsidR="001A2E10">
        <w:t>(includes</w:t>
      </w:r>
      <w:r w:rsidR="008A0F50">
        <w:t xml:space="preserve"> attempts).  Only one offense for each distinct incident of Arson is counted.  All of the evidence for any fire not known to be accidental (such as a cooking fire) must be considered by the institutional official designated to make such determinations.  At NHSC, the local Fire Marshall in town is designated as the official to make such determination.</w:t>
      </w:r>
    </w:p>
    <w:p w14:paraId="2B2CBD4A" w14:textId="3B2B9D77" w:rsidR="008A0F50" w:rsidRDefault="008A0F50" w:rsidP="009B311D">
      <w:pPr>
        <w:ind w:left="360"/>
      </w:pPr>
      <w:r w:rsidRPr="009B311D">
        <w:rPr>
          <w:b/>
          <w:bCs/>
        </w:rPr>
        <w:t>Domestic Violence:</w:t>
      </w:r>
      <w:r>
        <w:t xml:space="preserve"> A felony or misdemeanor crime of violence committed by: (a) a current or former spouse or intimate partner of the victim, (b) a person with whom the victim shares in child in common, (c) a person who is cohabitating with or has cohabitated</w:t>
      </w:r>
      <w:r w:rsidR="005974D8">
        <w:t xml:space="preserve"> with the victim as a spouse or intimate partner, (d) a person similarly situated</w:t>
      </w:r>
      <w:r w:rsidR="00212032">
        <w:t xml:space="preserve"> to a spouse of the victim under the domestic or family violence laws of the jurisdiction in which the crime of violence occurred, or (e) any other person against an adult or youth victim who is protected from that person’s acts under the domestic or family violence laws of the jurisdiction in which the crime of violence occurred.</w:t>
      </w:r>
    </w:p>
    <w:p w14:paraId="4BF72621" w14:textId="1344B1DA" w:rsidR="00926C7F" w:rsidRDefault="00212032" w:rsidP="008B0BC2">
      <w:pPr>
        <w:ind w:left="360"/>
      </w:pPr>
      <w:r w:rsidRPr="008B0BC2">
        <w:rPr>
          <w:b/>
          <w:bCs/>
        </w:rPr>
        <w:t>Dating Violence:</w:t>
      </w:r>
      <w:r>
        <w:t xml:space="preserve"> Violence committed by a person; (a) </w:t>
      </w:r>
      <w:r w:rsidR="00A76B4D">
        <w:t>who is or has been in a social relationship of a romantic or intimate nature with the victim; and (b) where the existence of such a relationship shall be determined based on the reporting party’s statement and with consideration for: the length of the relationship, the type of relationship, and the frequency of interaction between the persons involved in the relationship.  Dating violence includes, but is not limited to, sexual or physical abuse, or the threat of such</w:t>
      </w:r>
      <w:r w:rsidR="008E07C3">
        <w:t xml:space="preserve"> abuse.  Dating Violence does not include acts covered under the definition of domestic violence.</w:t>
      </w:r>
    </w:p>
    <w:p w14:paraId="2CB1DAE3" w14:textId="3C27E495" w:rsidR="008B0BC2" w:rsidRDefault="008E07C3" w:rsidP="00C92B74">
      <w:pPr>
        <w:pStyle w:val="ListParagraph"/>
        <w:ind w:left="360"/>
      </w:pPr>
      <w:r>
        <w:rPr>
          <w:b/>
          <w:bCs/>
        </w:rPr>
        <w:t>Stalking:</w:t>
      </w:r>
      <w:r>
        <w:t xml:space="preserve"> Engaging in a course of conduct (two or more acts) directed at a specific person that would cause a reasonable person to fear for the person’s safety or the safety of others or suffer substantial emotional distress.</w:t>
      </w:r>
    </w:p>
    <w:p w14:paraId="790B673F" w14:textId="77777777" w:rsidR="00C92B74" w:rsidRDefault="00C92B74" w:rsidP="00C92B74">
      <w:pPr>
        <w:pStyle w:val="ListParagraph"/>
        <w:ind w:left="360"/>
      </w:pPr>
    </w:p>
    <w:p w14:paraId="1518EED0" w14:textId="561C13B5" w:rsidR="00C92B74" w:rsidRDefault="00C92B74" w:rsidP="00C92B74">
      <w:pPr>
        <w:pStyle w:val="ListParagraph"/>
        <w:ind w:left="360"/>
      </w:pPr>
      <w:r>
        <w:rPr>
          <w:i/>
          <w:iCs/>
        </w:rPr>
        <w:t xml:space="preserve">Course of conduct </w:t>
      </w:r>
      <w:r>
        <w:t>means two or more acts, including, but not limited to, acts in which the stalker directly, indirectly, or through third parties, by any action, method</w:t>
      </w:r>
      <w:r w:rsidR="009E0BC7">
        <w:t xml:space="preserve"> device, or means, follows, monitors, observes, surveils, threatens, or communi</w:t>
      </w:r>
      <w:r w:rsidR="00146889">
        <w:t>cates to or about a person, or interferes with a person’s property.</w:t>
      </w:r>
    </w:p>
    <w:p w14:paraId="6A469DAC" w14:textId="77777777" w:rsidR="00146889" w:rsidRDefault="00146889" w:rsidP="00C92B74">
      <w:pPr>
        <w:pStyle w:val="ListParagraph"/>
        <w:ind w:left="360"/>
      </w:pPr>
    </w:p>
    <w:p w14:paraId="6FC4C710" w14:textId="4555BA10" w:rsidR="00146889" w:rsidRDefault="00146889" w:rsidP="00C92B74">
      <w:pPr>
        <w:pStyle w:val="ListParagraph"/>
        <w:ind w:left="360"/>
      </w:pPr>
      <w:r>
        <w:rPr>
          <w:i/>
          <w:iCs/>
        </w:rPr>
        <w:t xml:space="preserve">Reasonable person </w:t>
      </w:r>
      <w:r>
        <w:t>means a reasonable person under similar circumstances and with similar identities to the victim.</w:t>
      </w:r>
    </w:p>
    <w:p w14:paraId="3659C66F" w14:textId="77777777" w:rsidR="00146889" w:rsidRDefault="00146889" w:rsidP="00C92B74">
      <w:pPr>
        <w:pStyle w:val="ListParagraph"/>
        <w:ind w:left="360"/>
      </w:pPr>
    </w:p>
    <w:p w14:paraId="7EEAAC52" w14:textId="1CCB25C6" w:rsidR="00146889" w:rsidRDefault="00146889" w:rsidP="00C92B74">
      <w:pPr>
        <w:pStyle w:val="ListParagraph"/>
        <w:ind w:left="360"/>
      </w:pPr>
      <w:r>
        <w:rPr>
          <w:i/>
          <w:iCs/>
        </w:rPr>
        <w:t xml:space="preserve">Substantial emotional distress </w:t>
      </w:r>
      <w:r>
        <w:t>means significant mental suffering or anguish that may, but does not necessarily, require medical or other professional treatment or counseling.</w:t>
      </w:r>
    </w:p>
    <w:p w14:paraId="75ADE8F7" w14:textId="77777777" w:rsidR="00146889" w:rsidRDefault="00146889" w:rsidP="00C92B74">
      <w:pPr>
        <w:pStyle w:val="ListParagraph"/>
        <w:ind w:left="360"/>
      </w:pPr>
    </w:p>
    <w:p w14:paraId="4A61A46A" w14:textId="47899CB8" w:rsidR="00146889" w:rsidRDefault="00146889" w:rsidP="00C92B74">
      <w:pPr>
        <w:pStyle w:val="ListParagraph"/>
        <w:ind w:left="360"/>
      </w:pPr>
      <w:r>
        <w:rPr>
          <w:b/>
          <w:bCs/>
        </w:rPr>
        <w:t xml:space="preserve">Hate Crime: </w:t>
      </w:r>
      <w:r>
        <w:t>A hate crime is a criminal offense that manifests evidence</w:t>
      </w:r>
      <w:r w:rsidR="00234ECA">
        <w:t xml:space="preserve"> </w:t>
      </w:r>
      <w:r>
        <w:t>that the victim</w:t>
      </w:r>
      <w:r w:rsidR="000459C7">
        <w:t xml:space="preserve"> was intentionally selected because of the perpetrator’s bias against the victim</w:t>
      </w:r>
      <w:r w:rsidR="00895CC4">
        <w:t>.  Bias is a preformed negative opinion or attitude toward a group of persons based on their perceived identity.  Although there are many categories of bias, under the Clery Act, only the following ei</w:t>
      </w:r>
      <w:r w:rsidR="00D17889">
        <w:t>ght categories are reported; race, gender, gender identity, religion, sexual orientation, ethnicity</w:t>
      </w:r>
      <w:r w:rsidR="00595B08">
        <w:t>, national origin, or disability.  Before an incident ca be classified as a Hate Crime, sufficient objective facts must be present to lead a reasonable and prudent person to conclude that the offender’s actions were motivated, in whole or in part, by bias.</w:t>
      </w:r>
    </w:p>
    <w:p w14:paraId="1F9748F0" w14:textId="77777777" w:rsidR="00595B08" w:rsidRDefault="00595B08" w:rsidP="00C92B74">
      <w:pPr>
        <w:pStyle w:val="ListParagraph"/>
        <w:ind w:left="360"/>
      </w:pPr>
    </w:p>
    <w:p w14:paraId="712616E7" w14:textId="00CF78AB" w:rsidR="001333FC" w:rsidRDefault="001333FC" w:rsidP="00C92B74">
      <w:pPr>
        <w:pStyle w:val="ListParagraph"/>
        <w:ind w:left="360"/>
      </w:pPr>
      <w:r>
        <w:t>Hate Crimes include any of the Part I crimes: Murder, Manslaughter, Sex Offenses (Rape</w:t>
      </w:r>
      <w:r w:rsidR="0040016A">
        <w:t>, Fondling, Incest, Statutory Rape), Robbery, Aggravated Assault, Burglary, Motor Vehicle Theft, and Arson, plus the Additional Crimes listed below.  Hate crimes are not reported for Dating Violence, Domestic Violence, Stalking, or Arrests/Disciplinary Referrals for Liquor</w:t>
      </w:r>
      <w:r w:rsidR="00522214">
        <w:t>, Drug, and Weapons law violations.</w:t>
      </w:r>
    </w:p>
    <w:p w14:paraId="7F57D8D2" w14:textId="77777777" w:rsidR="00522214" w:rsidRDefault="00522214" w:rsidP="00C92B74">
      <w:pPr>
        <w:pStyle w:val="ListParagraph"/>
        <w:ind w:left="360"/>
      </w:pPr>
    </w:p>
    <w:p w14:paraId="113EC25E" w14:textId="46F37038" w:rsidR="00522214" w:rsidRDefault="00522214" w:rsidP="00C92B74">
      <w:pPr>
        <w:pStyle w:val="ListParagraph"/>
        <w:ind w:left="360"/>
        <w:rPr>
          <w:b/>
          <w:bCs/>
        </w:rPr>
      </w:pPr>
      <w:r>
        <w:rPr>
          <w:b/>
          <w:bCs/>
        </w:rPr>
        <w:t>Additional Crimes that only apply to Clery statistics IF there is a finding of a hate crime bias based on investigation:</w:t>
      </w:r>
    </w:p>
    <w:p w14:paraId="185F2C69" w14:textId="77777777" w:rsidR="00522214" w:rsidRDefault="00522214" w:rsidP="00C92B74">
      <w:pPr>
        <w:pStyle w:val="ListParagraph"/>
        <w:ind w:left="360"/>
        <w:rPr>
          <w:b/>
          <w:bCs/>
        </w:rPr>
      </w:pPr>
    </w:p>
    <w:p w14:paraId="6B52F474" w14:textId="5A31F435" w:rsidR="00522214" w:rsidRDefault="00522214" w:rsidP="00C92B74">
      <w:pPr>
        <w:pStyle w:val="ListParagraph"/>
        <w:ind w:left="360"/>
      </w:pPr>
      <w:r>
        <w:rPr>
          <w:b/>
          <w:bCs/>
        </w:rPr>
        <w:lastRenderedPageBreak/>
        <w:t xml:space="preserve">Larceny-Theft:  </w:t>
      </w:r>
      <w:r>
        <w:t xml:space="preserve">The unlawful taking, carrying, leading, or riding away of property from the possession or constructive possession of another.  Examples include pocket picking, purse snatching, shoplifting, theft from </w:t>
      </w:r>
      <w:r w:rsidR="009A3412">
        <w:t>buildings</w:t>
      </w:r>
      <w:r>
        <w:t>, and theft from motor vehicles</w:t>
      </w:r>
      <w:r w:rsidR="00D7742A">
        <w:t>.</w:t>
      </w:r>
    </w:p>
    <w:p w14:paraId="78EFBF45" w14:textId="77777777" w:rsidR="00D7742A" w:rsidRDefault="00D7742A" w:rsidP="00C92B74">
      <w:pPr>
        <w:pStyle w:val="ListParagraph"/>
        <w:ind w:left="360"/>
      </w:pPr>
    </w:p>
    <w:p w14:paraId="5E150250" w14:textId="5444C2EC" w:rsidR="00D7742A" w:rsidRDefault="00D7742A" w:rsidP="00C92B74">
      <w:pPr>
        <w:pStyle w:val="ListParagraph"/>
        <w:ind w:left="360"/>
      </w:pPr>
      <w:r>
        <w:rPr>
          <w:b/>
          <w:bCs/>
        </w:rPr>
        <w:t xml:space="preserve">Simple Assault: </w:t>
      </w:r>
      <w:r>
        <w:t>An unlawful</w:t>
      </w:r>
      <w:r w:rsidR="00091CBF">
        <w:t xml:space="preserve"> physical attack by one person upon another where neither the offender displays a weapon, nor the victim suffers obvious severe or aggravated bodily injury involving apparent broken bones, loss of teeth, possible internal injury, severe laceration, or loss of consciousness.</w:t>
      </w:r>
    </w:p>
    <w:p w14:paraId="51294D80" w14:textId="77777777" w:rsidR="00091CBF" w:rsidRDefault="00091CBF" w:rsidP="00C92B74">
      <w:pPr>
        <w:pStyle w:val="ListParagraph"/>
        <w:ind w:left="360"/>
      </w:pPr>
    </w:p>
    <w:p w14:paraId="5A15EC88" w14:textId="764D1D04" w:rsidR="009B4016" w:rsidRDefault="00091CBF" w:rsidP="00B10B5F">
      <w:pPr>
        <w:pStyle w:val="ListParagraph"/>
        <w:ind w:left="360"/>
      </w:pPr>
      <w:r w:rsidRPr="009B4016">
        <w:rPr>
          <w:b/>
          <w:bCs/>
        </w:rPr>
        <w:t>Intimidation:</w:t>
      </w:r>
      <w:r>
        <w:t xml:space="preserve"> To unlawfully place</w:t>
      </w:r>
      <w:r w:rsidR="00844B20">
        <w:t xml:space="preserve"> another person in reasonable fear of bodily harm through the use of threatening words and/or other conduct but without displaying</w:t>
      </w:r>
      <w:r w:rsidR="009B4016">
        <w:t xml:space="preserve"> a weapon or subjecting the victim to actual physical attack.</w:t>
      </w:r>
    </w:p>
    <w:p w14:paraId="1AE7C0A0" w14:textId="4104D12C" w:rsidR="009B4016" w:rsidRDefault="009B4016" w:rsidP="00C92B74">
      <w:pPr>
        <w:pStyle w:val="ListParagraph"/>
        <w:ind w:left="360"/>
      </w:pPr>
      <w:r>
        <w:rPr>
          <w:b/>
          <w:bCs/>
        </w:rPr>
        <w:t xml:space="preserve">Destruction/Damage/Vandalism of Property: </w:t>
      </w:r>
      <w:r>
        <w:t>To destroy willfully or maliciously, damage, deface, or otherwise injure real or personal property without the consent of the owner or the person having custody or control of it.</w:t>
      </w:r>
    </w:p>
    <w:p w14:paraId="600786FB" w14:textId="77777777" w:rsidR="009B4016" w:rsidRDefault="009B4016" w:rsidP="00C92B74">
      <w:pPr>
        <w:pStyle w:val="ListParagraph"/>
        <w:ind w:left="360"/>
      </w:pPr>
    </w:p>
    <w:p w14:paraId="68A6A00E" w14:textId="71E8F34B" w:rsidR="009B4016" w:rsidRDefault="005A0AEF" w:rsidP="00C92B74">
      <w:pPr>
        <w:pStyle w:val="ListParagraph"/>
        <w:ind w:left="360"/>
      </w:pPr>
      <w:r>
        <w:rPr>
          <w:b/>
          <w:bCs/>
        </w:rPr>
        <w:t xml:space="preserve">Liquor Law Violations: </w:t>
      </w:r>
      <w:r>
        <w:t>The violation of state or local</w:t>
      </w:r>
      <w:r w:rsidR="00E83AC7">
        <w:t xml:space="preserve"> laws or ordinances prohibiting the manufacture, sale, purchase, transportation, possession, or use of alcoholic beverages, not including driving under the influence and drunkenness.</w:t>
      </w:r>
    </w:p>
    <w:p w14:paraId="3FEF9380" w14:textId="77777777" w:rsidR="00E83AC7" w:rsidRDefault="00E83AC7" w:rsidP="00C92B74">
      <w:pPr>
        <w:pStyle w:val="ListParagraph"/>
        <w:ind w:left="360"/>
      </w:pPr>
    </w:p>
    <w:p w14:paraId="74076B5F" w14:textId="73765E54" w:rsidR="00E83AC7" w:rsidRDefault="00697E6D" w:rsidP="00C92B74">
      <w:pPr>
        <w:pStyle w:val="ListParagraph"/>
        <w:ind w:left="360"/>
      </w:pPr>
      <w:r>
        <w:rPr>
          <w:b/>
          <w:bCs/>
        </w:rPr>
        <w:t xml:space="preserve">Drug Law Violations: </w:t>
      </w:r>
      <w:r>
        <w:t>The violation of laws</w:t>
      </w:r>
      <w:r w:rsidR="008406DC">
        <w:t xml:space="preserve"> prohibiting the production, distribution, and/or use of certain controlled substances and</w:t>
      </w:r>
      <w:r w:rsidR="002C1BBD">
        <w:t xml:space="preserve"> the equipment or devices utilized in their preparation and/or use.  The unlawful cultivation, manufacture, distribution, sale, purchase, use, possession, transportation, or importation of any controlled drug or narcotic substance.  Arrests for violations of state and local laws, specifically those related to the unlawful possession, sale, use, growing, manufacturing, and making </w:t>
      </w:r>
      <w:r w:rsidR="00FD4A45">
        <w:t>of narcotic drugs.  The relevant substances include opium or cocaine and their derivatives (morphine, heroin, codeine); marijuana, synthetic narcotics-manufactured narcotics</w:t>
      </w:r>
      <w:r w:rsidR="00C54ACF">
        <w:t xml:space="preserve"> that can cause true addition (Demerol, methadone); and dangerous non-narcotic drugs (barbiturates, Benzedrine).  All drugs, without exception, which are illegal under local</w:t>
      </w:r>
      <w:r w:rsidR="00F91E10">
        <w:t xml:space="preserve"> or state law where the institution is </w:t>
      </w:r>
      <w:r w:rsidR="00F91E10">
        <w:lastRenderedPageBreak/>
        <w:t>located is considered a drug law violation.  All illegally obtained prescription drugs are considered drug law violations as well.</w:t>
      </w:r>
    </w:p>
    <w:p w14:paraId="6E49E25D" w14:textId="77777777" w:rsidR="00F91E10" w:rsidRDefault="00F91E10" w:rsidP="00C92B74">
      <w:pPr>
        <w:pStyle w:val="ListParagraph"/>
        <w:ind w:left="360"/>
      </w:pPr>
    </w:p>
    <w:p w14:paraId="319A8B64" w14:textId="5939C733" w:rsidR="00F91E10" w:rsidRDefault="00105182" w:rsidP="00C92B74">
      <w:pPr>
        <w:pStyle w:val="ListParagraph"/>
        <w:ind w:left="360"/>
      </w:pPr>
      <w:r>
        <w:rPr>
          <w:b/>
          <w:bCs/>
        </w:rPr>
        <w:t xml:space="preserve">Weapons Law Violations:  </w:t>
      </w:r>
      <w:r>
        <w:t>The violation of laws or ordinances prohibiting the manufacture, sale, purchase, transportation, possession, concealment, or use of firearms, cutting instruments, explosives, incendiary devices, or other deadly weapons.  This classification encompasses weapons offenses that are regularly in nature.</w:t>
      </w:r>
    </w:p>
    <w:p w14:paraId="2CCADE56" w14:textId="77777777" w:rsidR="00105182" w:rsidRDefault="00105182" w:rsidP="00C92B74">
      <w:pPr>
        <w:pStyle w:val="ListParagraph"/>
        <w:ind w:left="360"/>
      </w:pPr>
    </w:p>
    <w:p w14:paraId="5866B125" w14:textId="67A30E9D" w:rsidR="00105182" w:rsidRPr="00B81FBD" w:rsidRDefault="009F41A4" w:rsidP="00B81FBD">
      <w:pPr>
        <w:pStyle w:val="Heading1"/>
        <w:ind w:firstLine="360"/>
        <w:rPr>
          <w:rFonts w:asciiTheme="minorHAnsi" w:hAnsiTheme="minorHAnsi" w:cstheme="minorHAnsi"/>
          <w:sz w:val="32"/>
        </w:rPr>
      </w:pPr>
      <w:bookmarkStart w:id="77" w:name="_Toc209014428"/>
      <w:r w:rsidRPr="00B81FBD">
        <w:rPr>
          <w:rFonts w:asciiTheme="minorHAnsi" w:hAnsiTheme="minorHAnsi" w:cstheme="minorHAnsi"/>
          <w:sz w:val="32"/>
        </w:rPr>
        <w:t>17.0</w:t>
      </w:r>
      <w:r w:rsidRPr="00B81FBD">
        <w:rPr>
          <w:rFonts w:asciiTheme="minorHAnsi" w:hAnsiTheme="minorHAnsi" w:cstheme="minorHAnsi"/>
          <w:sz w:val="32"/>
        </w:rPr>
        <w:tab/>
      </w:r>
      <w:r w:rsidR="00B81FBD">
        <w:rPr>
          <w:rFonts w:asciiTheme="minorHAnsi" w:hAnsiTheme="minorHAnsi" w:cstheme="minorHAnsi"/>
          <w:sz w:val="32"/>
        </w:rPr>
        <w:tab/>
      </w:r>
      <w:r w:rsidRPr="00B81FBD">
        <w:rPr>
          <w:rFonts w:asciiTheme="minorHAnsi" w:hAnsiTheme="minorHAnsi" w:cstheme="minorHAnsi"/>
          <w:sz w:val="32"/>
        </w:rPr>
        <w:t>Definitions and Legal Statutes</w:t>
      </w:r>
      <w:bookmarkEnd w:id="77"/>
    </w:p>
    <w:p w14:paraId="2B69EC70" w14:textId="349FB116" w:rsidR="009F41A4" w:rsidRPr="00B81FBD" w:rsidRDefault="009F41A4" w:rsidP="00B81FBD">
      <w:pPr>
        <w:pStyle w:val="Heading2"/>
        <w:ind w:firstLine="360"/>
        <w:rPr>
          <w:rFonts w:asciiTheme="minorHAnsi" w:hAnsiTheme="minorHAnsi" w:cstheme="minorHAnsi"/>
          <w:sz w:val="24"/>
          <w:szCs w:val="24"/>
        </w:rPr>
      </w:pPr>
      <w:bookmarkStart w:id="78" w:name="_Toc209014429"/>
      <w:r w:rsidRPr="00B81FBD">
        <w:rPr>
          <w:rFonts w:asciiTheme="minorHAnsi" w:hAnsiTheme="minorHAnsi" w:cstheme="minorHAnsi"/>
          <w:sz w:val="24"/>
          <w:szCs w:val="24"/>
        </w:rPr>
        <w:t>17.1</w:t>
      </w:r>
      <w:r w:rsidRPr="00B81FBD">
        <w:rPr>
          <w:rFonts w:asciiTheme="minorHAnsi" w:hAnsiTheme="minorHAnsi" w:cstheme="minorHAnsi"/>
          <w:sz w:val="24"/>
          <w:szCs w:val="24"/>
        </w:rPr>
        <w:tab/>
        <w:t>OTHER CLERY ACT DEFINED TERMS</w:t>
      </w:r>
      <w:bookmarkEnd w:id="78"/>
    </w:p>
    <w:p w14:paraId="53383697" w14:textId="4B49EF36" w:rsidR="009F41A4" w:rsidRDefault="00151867" w:rsidP="00151867">
      <w:pPr>
        <w:pStyle w:val="ListParagraph"/>
        <w:spacing w:line="480" w:lineRule="auto"/>
        <w:ind w:left="360"/>
      </w:pPr>
      <w:r>
        <w:t>The following are additional terms defined by Clery Act regulations.</w:t>
      </w:r>
    </w:p>
    <w:p w14:paraId="1360F2C3" w14:textId="06516A82" w:rsidR="00151867" w:rsidRDefault="00C718F2" w:rsidP="00747D43">
      <w:pPr>
        <w:pStyle w:val="ListParagraph"/>
        <w:spacing w:before="240"/>
        <w:ind w:left="360"/>
      </w:pPr>
      <w:r>
        <w:rPr>
          <w:b/>
          <w:bCs/>
        </w:rPr>
        <w:t xml:space="preserve">Awareness Programs: </w:t>
      </w:r>
      <w:r>
        <w:t xml:space="preserve">Community-wide or audience-specific programming, initiatives, and </w:t>
      </w:r>
      <w:r w:rsidR="000D452C">
        <w:t>strategies that increase audience knowledge and share information and resources to prevent violence, promote, safety, and reduce perpetration.</w:t>
      </w:r>
    </w:p>
    <w:p w14:paraId="62792AF8" w14:textId="77777777" w:rsidR="000D452C" w:rsidRDefault="000D452C" w:rsidP="00747D43">
      <w:pPr>
        <w:pStyle w:val="ListParagraph"/>
        <w:spacing w:before="240"/>
        <w:ind w:left="360"/>
      </w:pPr>
    </w:p>
    <w:p w14:paraId="455263F6" w14:textId="5A78DEF3" w:rsidR="00651115" w:rsidRDefault="00651115" w:rsidP="00651115">
      <w:pPr>
        <w:pStyle w:val="ListParagraph"/>
        <w:spacing w:before="240"/>
        <w:ind w:left="360"/>
      </w:pPr>
      <w:r>
        <w:rPr>
          <w:b/>
          <w:bCs/>
        </w:rPr>
        <w:t xml:space="preserve">Business day: </w:t>
      </w:r>
      <w:r>
        <w:t xml:space="preserve">Monday through Friday, excluding any day when </w:t>
      </w:r>
      <w:r w:rsidR="00F44AB8">
        <w:t>the institution</w:t>
      </w:r>
      <w:r>
        <w:t xml:space="preserve"> is closed.</w:t>
      </w:r>
    </w:p>
    <w:p w14:paraId="755369D9" w14:textId="77777777" w:rsidR="00651115" w:rsidRDefault="00651115" w:rsidP="00651115">
      <w:pPr>
        <w:pStyle w:val="ListParagraph"/>
        <w:spacing w:before="240"/>
        <w:ind w:left="360"/>
      </w:pPr>
    </w:p>
    <w:p w14:paraId="47046542" w14:textId="6A0DF0C8" w:rsidR="00651115" w:rsidRDefault="000A6018" w:rsidP="00651115">
      <w:pPr>
        <w:pStyle w:val="ListParagraph"/>
        <w:spacing w:before="240"/>
        <w:ind w:left="360"/>
      </w:pPr>
      <w:r>
        <w:rPr>
          <w:b/>
          <w:bCs/>
        </w:rPr>
        <w:t xml:space="preserve">Bystander Intervention: </w:t>
      </w:r>
      <w:r>
        <w:t>Safe and positive options that m</w:t>
      </w:r>
      <w:r w:rsidR="00F44AB8">
        <w:t>a</w:t>
      </w:r>
      <w:r>
        <w:t>y be carried out by an individual or individuals to prevent harm or intervene when there is a risk of dating violence, domestic violence</w:t>
      </w:r>
      <w:r w:rsidR="00D5648E">
        <w:t>, sexual assault, or stalking.  Bystander intervention includes recognizing situations of potential harm, understanding institutional structures and cultural conditions that facilitate violence, overcoming barriers to intervening, identifying safe and effective intervention options, and taking action to intervene.</w:t>
      </w:r>
    </w:p>
    <w:p w14:paraId="49B37B4A" w14:textId="77777777" w:rsidR="00162808" w:rsidRDefault="00162808" w:rsidP="00651115">
      <w:pPr>
        <w:pStyle w:val="ListParagraph"/>
        <w:spacing w:before="240"/>
        <w:ind w:left="360"/>
      </w:pPr>
    </w:p>
    <w:p w14:paraId="2391A0C3" w14:textId="31C1E90A" w:rsidR="00162808" w:rsidRDefault="00162808" w:rsidP="00651115">
      <w:pPr>
        <w:pStyle w:val="ListParagraph"/>
        <w:spacing w:before="240"/>
        <w:ind w:left="360"/>
      </w:pPr>
      <w:r w:rsidRPr="004F447C">
        <w:rPr>
          <w:b/>
          <w:bCs/>
        </w:rPr>
        <w:t>Campus</w:t>
      </w:r>
      <w:r>
        <w:t>: (i) Any building or properly owned or controlled by an institution within the same reasonably</w:t>
      </w:r>
      <w:r w:rsidR="00A8140C">
        <w:t xml:space="preserve"> contiguous</w:t>
      </w:r>
      <w:r w:rsidR="005F64D5">
        <w:t xml:space="preserve"> geographic area and used by the institution in direct support of, or in manner related to, the institution’s educational purposes, including residence halls; and (ii) Any building or property</w:t>
      </w:r>
      <w:r w:rsidR="00A5684F">
        <w:t xml:space="preserve"> that is within or reasonably contiguous to the area identified in </w:t>
      </w:r>
      <w:r w:rsidR="00A5684F">
        <w:lastRenderedPageBreak/>
        <w:t>paragraph (i) of this definition, that is owned by the institution but controlled by another person, is frequently</w:t>
      </w:r>
      <w:r w:rsidR="005A6990">
        <w:t xml:space="preserve"> used by students, and supports institutional purposes (such as food or other retail vendor).</w:t>
      </w:r>
    </w:p>
    <w:p w14:paraId="100B4C5D" w14:textId="77777777" w:rsidR="004F447C" w:rsidRDefault="004F447C" w:rsidP="00651115">
      <w:pPr>
        <w:pStyle w:val="ListParagraph"/>
        <w:spacing w:before="240"/>
        <w:ind w:left="360"/>
      </w:pPr>
    </w:p>
    <w:p w14:paraId="2C41B133" w14:textId="01A61ED0" w:rsidR="004F447C" w:rsidRDefault="004F447C" w:rsidP="00651115">
      <w:pPr>
        <w:pStyle w:val="ListParagraph"/>
        <w:spacing w:before="240"/>
        <w:ind w:left="360"/>
      </w:pPr>
      <w:r>
        <w:rPr>
          <w:b/>
          <w:bCs/>
        </w:rPr>
        <w:t xml:space="preserve">Campus Security Authority (CSA): </w:t>
      </w:r>
      <w:r>
        <w:t>This term encompasses the following four groups of people: (i) A campus police department or a campus security department of an institution. (ii) Any individual or individuals who have responsibility for campus security but who do not constitute a campus police department or a campus security department under paragraph (i) of this definition, such as an individual who is responsible for monitoring entrance into institutional property.  (iii) Any individual or organization specified in an institution’s statement of campus security policy</w:t>
      </w:r>
      <w:r w:rsidR="003C09D9">
        <w:t xml:space="preserve"> as an individual or organization to which students and employees should report criminal offenses. (iv) An official of an institution who has significant responsibility</w:t>
      </w:r>
      <w:r w:rsidR="00554191">
        <w:t xml:space="preserve"> for students and campus activities, including, but not limited to, student housing, student discipline, and campus judicial proceedings.  If such an official is a pastoral or professional counselor as defined below, the official is not considered a CSA when acting as a pastor or professional counselor.</w:t>
      </w:r>
    </w:p>
    <w:p w14:paraId="4D2D9381" w14:textId="77777777" w:rsidR="00554191" w:rsidRDefault="00554191" w:rsidP="00651115">
      <w:pPr>
        <w:pStyle w:val="ListParagraph"/>
        <w:spacing w:before="240"/>
        <w:ind w:left="360"/>
      </w:pPr>
    </w:p>
    <w:p w14:paraId="2B49060B" w14:textId="00D428E9" w:rsidR="00554191" w:rsidRDefault="00554191" w:rsidP="00651115">
      <w:pPr>
        <w:pStyle w:val="ListParagraph"/>
        <w:spacing w:before="240"/>
        <w:ind w:left="360"/>
      </w:pPr>
      <w:r>
        <w:rPr>
          <w:b/>
          <w:bCs/>
        </w:rPr>
        <w:t xml:space="preserve">Clery Act Geography: </w:t>
      </w:r>
      <w:r>
        <w:t>(i) For the purpose of collecting statistics on Clery Act crimes for submission to the Department of Education and inclusion in this report and for the issuance of Timely Warnings, Clery Act geography includes: (A) buildings and property that are part of the college campus; (B) the college’s non-campus buildings and property; and (C) public property within or immedi</w:t>
      </w:r>
      <w:r w:rsidR="005233B5">
        <w:t>ately adjacent to and accessible from the campus. (ii) For the purposes of the Daily Crime Log, Clery Act geography includes, in addition to the locations in paragraph</w:t>
      </w:r>
      <w:r w:rsidR="00F511E6">
        <w:t xml:space="preserve"> (i) of this definition, areas within NHSC’s patrol judgement.</w:t>
      </w:r>
    </w:p>
    <w:p w14:paraId="2C328457" w14:textId="77777777" w:rsidR="00F511E6" w:rsidRDefault="00F511E6" w:rsidP="00651115">
      <w:pPr>
        <w:pStyle w:val="ListParagraph"/>
        <w:spacing w:before="240"/>
        <w:ind w:left="360"/>
      </w:pPr>
    </w:p>
    <w:p w14:paraId="41F114A7" w14:textId="43C1E107" w:rsidR="00F511E6" w:rsidRDefault="00F511E6" w:rsidP="00651115">
      <w:pPr>
        <w:pStyle w:val="ListParagraph"/>
        <w:spacing w:before="240"/>
        <w:ind w:left="360"/>
      </w:pPr>
      <w:r>
        <w:rPr>
          <w:b/>
          <w:bCs/>
        </w:rPr>
        <w:t xml:space="preserve">Federal Bureau of Investigation’s (“FBI”) Uniform Crime Reporting (“UCR”) Program: </w:t>
      </w:r>
      <w:r>
        <w:t xml:space="preserve">Nationwide, cooperative statistical effort in which city, </w:t>
      </w:r>
      <w:r w:rsidR="00567AC6">
        <w:t>college, county, state, tribal, and federal law enforcement agencies voluntarily report data on crimes brought to their attention.  The UCR program also serves as the basis for the definitions of crimes in the Clery Act and the requirements for classifying Clery Act crimes.</w:t>
      </w:r>
    </w:p>
    <w:p w14:paraId="5BDB4F0C" w14:textId="77777777" w:rsidR="00E947B1" w:rsidRDefault="00E947B1" w:rsidP="00651115">
      <w:pPr>
        <w:pStyle w:val="ListParagraph"/>
        <w:spacing w:before="240"/>
        <w:ind w:left="360"/>
      </w:pPr>
    </w:p>
    <w:p w14:paraId="1A5A33FB" w14:textId="074D7581" w:rsidR="00E947B1" w:rsidRDefault="00E947B1" w:rsidP="00651115">
      <w:pPr>
        <w:pStyle w:val="ListParagraph"/>
        <w:spacing w:before="240"/>
        <w:ind w:left="360"/>
      </w:pPr>
      <w:r w:rsidRPr="002B4978">
        <w:rPr>
          <w:b/>
          <w:bCs/>
        </w:rPr>
        <w:t>Hierarchy Rule</w:t>
      </w:r>
      <w:r>
        <w:t>: A requirement in the FBI’s UCR program that, for purposes of reporting crimes in that system, when more than one criminal offense was committed during a single incident, only the most serious offense be counted.</w:t>
      </w:r>
    </w:p>
    <w:p w14:paraId="008BDAED" w14:textId="77777777" w:rsidR="002B4978" w:rsidRDefault="002B4978" w:rsidP="00651115">
      <w:pPr>
        <w:pStyle w:val="ListParagraph"/>
        <w:spacing w:before="240"/>
        <w:ind w:left="360"/>
      </w:pPr>
    </w:p>
    <w:p w14:paraId="7629AE3D" w14:textId="2FEF20C0" w:rsidR="002B4978" w:rsidRDefault="005A67E0" w:rsidP="00651115">
      <w:pPr>
        <w:pStyle w:val="ListParagraph"/>
        <w:spacing w:before="240"/>
        <w:ind w:left="360"/>
      </w:pPr>
      <w:r>
        <w:rPr>
          <w:b/>
          <w:bCs/>
        </w:rPr>
        <w:t xml:space="preserve">Non-Campus Building or Property: </w:t>
      </w:r>
      <w:r>
        <w:t>(i) Any building or property owned or controlled by a student organization that is officially recognized by the institution; or (ii) any building or property owned or controlled by an institution that is used in direct support of, or in relation to, the institution’s educational purposes, is frequently used by students and is not within the same reasonably contiguous geographic area of the institution.</w:t>
      </w:r>
    </w:p>
    <w:p w14:paraId="306DE15F" w14:textId="77777777" w:rsidR="005A67E0" w:rsidRDefault="005A67E0" w:rsidP="00651115">
      <w:pPr>
        <w:pStyle w:val="ListParagraph"/>
        <w:spacing w:before="240"/>
        <w:ind w:left="360"/>
      </w:pPr>
    </w:p>
    <w:p w14:paraId="7A2B3CCF" w14:textId="78B76255" w:rsidR="005A67E0" w:rsidRDefault="005A67E0" w:rsidP="00651115">
      <w:pPr>
        <w:pStyle w:val="ListParagraph"/>
        <w:spacing w:before="240"/>
        <w:ind w:left="360"/>
      </w:pPr>
      <w:r w:rsidRPr="005A67E0">
        <w:rPr>
          <w:b/>
          <w:bCs/>
        </w:rPr>
        <w:t>Ongoing</w:t>
      </w:r>
      <w:r>
        <w:rPr>
          <w:b/>
          <w:bCs/>
        </w:rPr>
        <w:t xml:space="preserve"> Prevention and Awareness Campaigns: </w:t>
      </w:r>
      <w:r>
        <w:t>Programming, initiatives, and strategies that are sustained over time and focus on increasing understanding of topics relevant to and skills for addressing dating violence, domestic violence, sexual assault, and stalking, using a range of strategies with audiences throughout the institution.</w:t>
      </w:r>
    </w:p>
    <w:p w14:paraId="0D9A0024" w14:textId="77777777" w:rsidR="005A67E0" w:rsidRDefault="005A67E0" w:rsidP="00651115">
      <w:pPr>
        <w:pStyle w:val="ListParagraph"/>
        <w:spacing w:before="240"/>
        <w:ind w:left="360"/>
      </w:pPr>
    </w:p>
    <w:p w14:paraId="02F4D151" w14:textId="4BED8913" w:rsidR="005A67E0" w:rsidRDefault="00E57437" w:rsidP="00651115">
      <w:pPr>
        <w:pStyle w:val="ListParagraph"/>
        <w:spacing w:before="240"/>
        <w:ind w:left="360"/>
      </w:pPr>
      <w:r>
        <w:rPr>
          <w:b/>
          <w:bCs/>
        </w:rPr>
        <w:t xml:space="preserve">Pastoral Counselor: </w:t>
      </w:r>
      <w:r>
        <w:t>A person who is associated with a religious order or denomination, is recognized by that religious order or denomination as someone who provides confidential counseling and is functioning within the scope of that recognition as a pastoral counselor.</w:t>
      </w:r>
    </w:p>
    <w:p w14:paraId="7A529EA3" w14:textId="77777777" w:rsidR="00E57437" w:rsidRDefault="00E57437" w:rsidP="00651115">
      <w:pPr>
        <w:pStyle w:val="ListParagraph"/>
        <w:spacing w:before="240"/>
        <w:ind w:left="360"/>
      </w:pPr>
    </w:p>
    <w:p w14:paraId="6ECC9F9E" w14:textId="55A3F22D" w:rsidR="00E57437" w:rsidRDefault="00EB5E34" w:rsidP="00651115">
      <w:pPr>
        <w:pStyle w:val="ListParagraph"/>
        <w:spacing w:before="240"/>
        <w:ind w:left="360"/>
      </w:pPr>
      <w:r>
        <w:rPr>
          <w:b/>
          <w:bCs/>
        </w:rPr>
        <w:t xml:space="preserve">Primary Prevention Programs: </w:t>
      </w:r>
      <w:r>
        <w:t>Programming, initiatives, and strategies informed by research or assessed for value, effectiveness, or outcome that are intended to stop dating violence, domestic violence, sexually assault, and stalking before they occur through the promotion of positive and healthy behaviors that foster healthy, mutually respectful relationships and sexuality, encourage safe bystander intervention, and seek to change behavior and social norms in healthy and safe directions.</w:t>
      </w:r>
    </w:p>
    <w:p w14:paraId="2FB4F6A5" w14:textId="77777777" w:rsidR="00EB5E34" w:rsidRDefault="00EB5E34" w:rsidP="00651115">
      <w:pPr>
        <w:pStyle w:val="ListParagraph"/>
        <w:spacing w:before="240"/>
        <w:ind w:left="360"/>
      </w:pPr>
    </w:p>
    <w:p w14:paraId="2222F0AE" w14:textId="5A916CA4" w:rsidR="00EB5E34" w:rsidRDefault="00DF28FC" w:rsidP="00651115">
      <w:pPr>
        <w:pStyle w:val="ListParagraph"/>
        <w:spacing w:before="240"/>
        <w:ind w:left="360"/>
      </w:pPr>
      <w:r>
        <w:rPr>
          <w:b/>
          <w:bCs/>
        </w:rPr>
        <w:t xml:space="preserve">Professional Counselor: </w:t>
      </w:r>
      <w:r>
        <w:t xml:space="preserve">A person whose official responsibilities include providing mental health counseling to members of the institution’s community and who is functioning within the scope of the counselor’s license </w:t>
      </w:r>
      <w:r w:rsidR="00641B90">
        <w:t>or certification.</w:t>
      </w:r>
    </w:p>
    <w:p w14:paraId="17340CDA" w14:textId="77777777" w:rsidR="00641B90" w:rsidRDefault="00641B90" w:rsidP="00651115">
      <w:pPr>
        <w:pStyle w:val="ListParagraph"/>
        <w:spacing w:before="240"/>
        <w:ind w:left="360"/>
      </w:pPr>
    </w:p>
    <w:p w14:paraId="4E9CF22D" w14:textId="3188504B" w:rsidR="00641B90" w:rsidRDefault="00641B90" w:rsidP="00651115">
      <w:pPr>
        <w:pStyle w:val="ListParagraph"/>
        <w:spacing w:before="240"/>
        <w:ind w:left="360"/>
      </w:pPr>
      <w:r>
        <w:rPr>
          <w:b/>
          <w:bCs/>
        </w:rPr>
        <w:t xml:space="preserve">Programs to Prevent Dating Violence, Domestic Violence, Sexual Assault, and Stalking: </w:t>
      </w:r>
      <w:r w:rsidR="003261D4">
        <w:t>(i) Comprehensive, intentional, and integrated programming, initiatives, strategies, and campaigns intended to end dating violence, domestic</w:t>
      </w:r>
      <w:r w:rsidR="00620D93">
        <w:t xml:space="preserve"> violence, sexual assault, and stalking that: (A) Are culturally relevant, inclusive of diverse communities and identities, sustainable, responsive to community needs, </w:t>
      </w:r>
      <w:r w:rsidR="00D77E14">
        <w:t>and informed by research or assessed for value, effectiveness, or outcome; and (B) Consider environmental risk and protective factors as they occur on the individual, relationship, institutional, community, and societal levels.  (ii) Programs to prevent dating violence, domestic violence, sexual assault, and stalking include both primary prevention and awareness programs directed at incoming students and new employ</w:t>
      </w:r>
      <w:r w:rsidR="00B667C8">
        <w:t>ees and ongoing prevention and awareness campaigns directed at current students and employees.</w:t>
      </w:r>
    </w:p>
    <w:p w14:paraId="3D31AA16" w14:textId="77777777" w:rsidR="00B667C8" w:rsidRDefault="00B667C8" w:rsidP="00651115">
      <w:pPr>
        <w:pStyle w:val="ListParagraph"/>
        <w:spacing w:before="240"/>
        <w:ind w:left="360"/>
      </w:pPr>
    </w:p>
    <w:p w14:paraId="6302BCCC" w14:textId="610368E7" w:rsidR="00B667C8" w:rsidRDefault="00B667C8" w:rsidP="00651115">
      <w:pPr>
        <w:pStyle w:val="ListParagraph"/>
        <w:spacing w:before="240"/>
        <w:ind w:left="360"/>
      </w:pPr>
      <w:r w:rsidRPr="00B667C8">
        <w:rPr>
          <w:b/>
          <w:bCs/>
        </w:rPr>
        <w:t>Public Property:</w:t>
      </w:r>
      <w:r w:rsidR="00573474">
        <w:rPr>
          <w:b/>
          <w:bCs/>
        </w:rPr>
        <w:t xml:space="preserve"> </w:t>
      </w:r>
      <w:r w:rsidR="00573474">
        <w:t xml:space="preserve">All public property, including thorough-fares, streets, sidewalks, and parking facilities, which is </w:t>
      </w:r>
      <w:r w:rsidR="001A2E10">
        <w:t>within</w:t>
      </w:r>
      <w:r w:rsidR="00573474">
        <w:t xml:space="preserve"> the campus, or immediately adjacent to and accessible from the campus.</w:t>
      </w:r>
    </w:p>
    <w:p w14:paraId="2080DC7F" w14:textId="77777777" w:rsidR="00573474" w:rsidRDefault="00573474" w:rsidP="00651115">
      <w:pPr>
        <w:pStyle w:val="ListParagraph"/>
        <w:spacing w:before="240"/>
        <w:ind w:left="360"/>
      </w:pPr>
    </w:p>
    <w:p w14:paraId="78AF7090" w14:textId="431F4C8E" w:rsidR="00573474" w:rsidRDefault="0049147A" w:rsidP="00651115">
      <w:pPr>
        <w:pStyle w:val="ListParagraph"/>
        <w:spacing w:before="240"/>
        <w:ind w:left="360"/>
      </w:pPr>
      <w:r>
        <w:rPr>
          <w:b/>
          <w:bCs/>
        </w:rPr>
        <w:t xml:space="preserve">Referred for Campus Disciplinary Action: </w:t>
      </w:r>
      <w:r w:rsidR="00553500">
        <w:t>The referral of any person to any campus official who initiates a discipl</w:t>
      </w:r>
      <w:r w:rsidR="00381102">
        <w:t>in</w:t>
      </w:r>
      <w:r w:rsidR="00553500">
        <w:t>ary action of which a record is kept</w:t>
      </w:r>
      <w:r w:rsidR="0082711E">
        <w:t>, and which may result in the imposition of a sanction.</w:t>
      </w:r>
    </w:p>
    <w:p w14:paraId="07BF0B4D" w14:textId="77777777" w:rsidR="0082711E" w:rsidRDefault="0082711E" w:rsidP="00651115">
      <w:pPr>
        <w:pStyle w:val="ListParagraph"/>
        <w:spacing w:before="240"/>
        <w:ind w:left="360"/>
      </w:pPr>
    </w:p>
    <w:p w14:paraId="639F9C59" w14:textId="1E803BF2" w:rsidR="0082711E" w:rsidRDefault="0082711E" w:rsidP="00651115">
      <w:pPr>
        <w:pStyle w:val="ListParagraph"/>
        <w:spacing w:before="240"/>
        <w:ind w:left="360"/>
      </w:pPr>
      <w:r>
        <w:rPr>
          <w:b/>
          <w:bCs/>
        </w:rPr>
        <w:t>Reta</w:t>
      </w:r>
      <w:r w:rsidR="003E2962">
        <w:rPr>
          <w:b/>
          <w:bCs/>
        </w:rPr>
        <w:t xml:space="preserve">liation: </w:t>
      </w:r>
      <w:r w:rsidR="003E2962">
        <w:t xml:space="preserve">Retaliation includes threats intimidation, reprisals, and/or adverse employment or educational actions against a person based on their report of Sexual Violence or participation in the investigation, report, remedial, or disciplinary processes. In addition to the </w:t>
      </w:r>
      <w:r w:rsidR="00C1681B">
        <w:t>C</w:t>
      </w:r>
      <w:r w:rsidR="003E2962">
        <w:t>ollege</w:t>
      </w:r>
      <w:r w:rsidR="00C1681B">
        <w:t>’s prohibition</w:t>
      </w:r>
      <w:r w:rsidR="00540785">
        <w:t xml:space="preserve"> against retaliation, the Clery Act also prohibits retaliation.  An institution, or an officer, employee, or agent of an institution, may not retaliate, intimidate, threaten, coerce, or otherwise, discriminate against any individual for exercising their or responsibilities under the Clery Act.</w:t>
      </w:r>
    </w:p>
    <w:p w14:paraId="655F49E4" w14:textId="77777777" w:rsidR="00540785" w:rsidRDefault="00540785" w:rsidP="00651115">
      <w:pPr>
        <w:pStyle w:val="ListParagraph"/>
        <w:spacing w:before="240"/>
        <w:ind w:left="360"/>
      </w:pPr>
    </w:p>
    <w:p w14:paraId="62FD37F0" w14:textId="33842A41" w:rsidR="00540785" w:rsidRDefault="004C03FE" w:rsidP="00651115">
      <w:pPr>
        <w:pStyle w:val="ListParagraph"/>
        <w:spacing w:before="240"/>
        <w:ind w:left="360"/>
      </w:pPr>
      <w:r>
        <w:rPr>
          <w:b/>
          <w:bCs/>
        </w:rPr>
        <w:lastRenderedPageBreak/>
        <w:t xml:space="preserve">Risk Reduction: </w:t>
      </w:r>
      <w:r>
        <w:t>Options designed to decrease perpetration and bystander inaction, and to increase empowerment for victims in order to promote safety and to help individuals and communities address conditions that facilitate violence.</w:t>
      </w:r>
    </w:p>
    <w:p w14:paraId="28FFA341" w14:textId="77777777" w:rsidR="004C03FE" w:rsidRDefault="004C03FE" w:rsidP="00651115">
      <w:pPr>
        <w:pStyle w:val="ListParagraph"/>
        <w:spacing w:before="240"/>
        <w:ind w:left="360"/>
      </w:pPr>
    </w:p>
    <w:p w14:paraId="766C8B19" w14:textId="5FE6565B" w:rsidR="001B0C0A" w:rsidRDefault="001B0C0A" w:rsidP="00651115">
      <w:pPr>
        <w:pStyle w:val="ListParagraph"/>
        <w:spacing w:before="240"/>
        <w:ind w:left="360"/>
      </w:pPr>
      <w:r>
        <w:rPr>
          <w:b/>
          <w:bCs/>
        </w:rPr>
        <w:t xml:space="preserve">Test: </w:t>
      </w:r>
      <w:r>
        <w:t>Regularly scheduled drills, exercises</w:t>
      </w:r>
      <w:r w:rsidR="001E28E2">
        <w:t>, and appropriate follow through activities</w:t>
      </w:r>
      <w:r w:rsidR="00B34D37">
        <w:t>, designed for assessment and evaluation of emergency plans and capabilities.</w:t>
      </w:r>
    </w:p>
    <w:p w14:paraId="69A9EBE4" w14:textId="77777777" w:rsidR="00B34D37" w:rsidRDefault="00B34D37" w:rsidP="00651115">
      <w:pPr>
        <w:pStyle w:val="ListParagraph"/>
        <w:spacing w:before="240"/>
        <w:ind w:left="360"/>
      </w:pPr>
    </w:p>
    <w:p w14:paraId="37983C4E" w14:textId="61A7FDC2" w:rsidR="00B34D37" w:rsidRPr="0058681B" w:rsidRDefault="00715FD9" w:rsidP="0058681B">
      <w:pPr>
        <w:pStyle w:val="Heading2"/>
        <w:rPr>
          <w:rFonts w:asciiTheme="minorHAnsi" w:hAnsiTheme="minorHAnsi" w:cstheme="minorHAnsi"/>
          <w:sz w:val="24"/>
          <w:szCs w:val="24"/>
        </w:rPr>
      </w:pPr>
      <w:bookmarkStart w:id="79" w:name="_Toc209014430"/>
      <w:r w:rsidRPr="0058681B">
        <w:rPr>
          <w:rFonts w:asciiTheme="minorHAnsi" w:hAnsiTheme="minorHAnsi" w:cstheme="minorHAnsi"/>
          <w:sz w:val="24"/>
          <w:szCs w:val="24"/>
        </w:rPr>
        <w:t>17.2</w:t>
      </w:r>
      <w:r w:rsidRPr="0058681B">
        <w:rPr>
          <w:rFonts w:asciiTheme="minorHAnsi" w:hAnsiTheme="minorHAnsi" w:cstheme="minorHAnsi"/>
          <w:sz w:val="24"/>
          <w:szCs w:val="24"/>
        </w:rPr>
        <w:tab/>
        <w:t>DEFINITIONS OF VAWA CRIMES</w:t>
      </w:r>
      <w:bookmarkEnd w:id="79"/>
    </w:p>
    <w:p w14:paraId="3C106466" w14:textId="77777777" w:rsidR="00715FD9" w:rsidRDefault="00715FD9" w:rsidP="00651115">
      <w:pPr>
        <w:pStyle w:val="ListParagraph"/>
        <w:spacing w:before="240"/>
        <w:ind w:left="360"/>
      </w:pPr>
    </w:p>
    <w:p w14:paraId="00094229" w14:textId="25763BF4" w:rsidR="00715FD9" w:rsidRDefault="00715FD9" w:rsidP="00651115">
      <w:pPr>
        <w:pStyle w:val="ListParagraph"/>
        <w:spacing w:before="240"/>
        <w:ind w:left="360"/>
      </w:pPr>
      <w:r>
        <w:t>The following are definitions of Violence Against Women Act (VAWA) and offenses and VAWA-related terms:</w:t>
      </w:r>
    </w:p>
    <w:p w14:paraId="08C225EA" w14:textId="77777777" w:rsidR="00715FD9" w:rsidRDefault="00715FD9" w:rsidP="00651115">
      <w:pPr>
        <w:pStyle w:val="ListParagraph"/>
        <w:spacing w:before="240"/>
        <w:ind w:left="360"/>
      </w:pPr>
    </w:p>
    <w:p w14:paraId="132E5498" w14:textId="08FF17BE" w:rsidR="00671721" w:rsidRDefault="00671721" w:rsidP="00651115">
      <w:pPr>
        <w:pStyle w:val="ListParagraph"/>
        <w:spacing w:before="240"/>
        <w:ind w:left="360"/>
        <w:rPr>
          <w:b/>
          <w:bCs/>
        </w:rPr>
      </w:pPr>
      <w:r>
        <w:rPr>
          <w:b/>
          <w:bCs/>
        </w:rPr>
        <w:t>Consent</w:t>
      </w:r>
    </w:p>
    <w:p w14:paraId="2248C906" w14:textId="7F942D85" w:rsidR="00671721" w:rsidRDefault="00671721" w:rsidP="006A64BD">
      <w:pPr>
        <w:pStyle w:val="ListParagraph"/>
        <w:numPr>
          <w:ilvl w:val="0"/>
          <w:numId w:val="68"/>
        </w:numPr>
        <w:spacing w:before="240"/>
      </w:pPr>
      <w:r>
        <w:t>An informed, affirmative, conscious, voluntary, and mutual agreement to engage in sexual activity.  It is the responsibility of each person involved in the sexual activity to ensure Affirmative Consent has been obtained from the other participant(s) to engage in the sexual activity.  Lack of protest or resistance does not mean Affirmative Consent, nor does silence mean consent.  Affirmative Consent must be voluntary, and given without coercion, force, threats, or intimidation.</w:t>
      </w:r>
    </w:p>
    <w:p w14:paraId="7EF85418" w14:textId="60D13E28" w:rsidR="00671721" w:rsidRDefault="00671721" w:rsidP="006A64BD">
      <w:pPr>
        <w:pStyle w:val="ListParagraph"/>
        <w:numPr>
          <w:ilvl w:val="0"/>
          <w:numId w:val="68"/>
        </w:numPr>
        <w:spacing w:before="240"/>
      </w:pPr>
      <w:r>
        <w:t>The existence of a dating or social relationship</w:t>
      </w:r>
      <w:r w:rsidR="0084744F">
        <w:t xml:space="preserve"> between those involved, or the fact of past sexual activities between them, should never by itself be assumed to be an indicator of Affirmative Consent.  A request for someone to use a condom or birth control does not, in and of itself, constitute Affirmative Consent.</w:t>
      </w:r>
    </w:p>
    <w:p w14:paraId="007498C5" w14:textId="5F05810A" w:rsidR="0084744F" w:rsidRDefault="0084744F" w:rsidP="006A64BD">
      <w:pPr>
        <w:pStyle w:val="ListParagraph"/>
        <w:numPr>
          <w:ilvl w:val="0"/>
          <w:numId w:val="68"/>
        </w:numPr>
        <w:spacing w:before="240"/>
      </w:pPr>
      <w:r>
        <w:t>Affirmative Consent can be withdrawn or revoked.  Consent to one form of sexual activity (or one sexual act) does not consent to other forms of sexual activity.  Consent given to sexual activity on one occasion does not constitute consent on another occasion.  There must always be mutual and affirmative consent to engage in sexual activity.</w:t>
      </w:r>
      <w:r w:rsidR="00292C4C">
        <w:t xml:space="preserve">  Consent must be ongoing throughout a sexual activity</w:t>
      </w:r>
      <w:r w:rsidR="00B00766">
        <w:t xml:space="preserve"> and can be </w:t>
      </w:r>
      <w:r w:rsidR="00B00766">
        <w:lastRenderedPageBreak/>
        <w:t>revoked at any time, including after penetration.  Once consent is withdrawn or revoked, the sexual activity must stop immediately.</w:t>
      </w:r>
    </w:p>
    <w:p w14:paraId="7D95D50B" w14:textId="2B0FB09B" w:rsidR="00B00766" w:rsidRDefault="00B00766" w:rsidP="006A64BD">
      <w:pPr>
        <w:pStyle w:val="ListParagraph"/>
        <w:numPr>
          <w:ilvl w:val="0"/>
          <w:numId w:val="68"/>
        </w:numPr>
        <w:spacing w:before="240"/>
      </w:pPr>
      <w:r>
        <w:t>Affirmative Consent cannot be given by a person who is incapacitated.  A person is unable to consent when asleep, unconscious or is incapacitated due to the influence of drugs, alcohol, or medication so that the person could not understand the fact, nature or extent of the sexual activity.  A person is incapacitated if they lack the physical and/or mental ability to make informed, rational decisions.</w:t>
      </w:r>
    </w:p>
    <w:p w14:paraId="05A38046" w14:textId="7E92D664" w:rsidR="00B00766" w:rsidRDefault="0063062E" w:rsidP="006A64BD">
      <w:pPr>
        <w:pStyle w:val="ListParagraph"/>
        <w:numPr>
          <w:ilvl w:val="0"/>
          <w:numId w:val="68"/>
        </w:numPr>
        <w:spacing w:before="240"/>
      </w:pPr>
      <w:r>
        <w:t>Whether</w:t>
      </w:r>
      <w:r w:rsidR="003B705D">
        <w:t xml:space="preserve"> an intoxicated person (as a result of using alcohol or other drugs) is </w:t>
      </w:r>
      <w:r w:rsidR="00152CF7">
        <w:t>incapacitated depends on the extent to which the alcohol or other drugs impact the person’s decision-making</w:t>
      </w:r>
      <w:r w:rsidR="00890183">
        <w:t xml:space="preserve"> ability</w:t>
      </w:r>
      <w:r w:rsidR="009326B0">
        <w:t>, awareness of consequences, and ability to make informed judgements.  A person’s own intoxication or incapacitation from drugs or alcohol does not dimi</w:t>
      </w:r>
      <w:r w:rsidR="00B05C9D">
        <w:t>nish that person’s responsibility to obtain Affirmative Consent before engaging in sexual activity.</w:t>
      </w:r>
    </w:p>
    <w:p w14:paraId="10299781" w14:textId="6A151541" w:rsidR="00B05C9D" w:rsidRDefault="00B05C9D" w:rsidP="006A64BD">
      <w:pPr>
        <w:pStyle w:val="ListParagraph"/>
        <w:numPr>
          <w:ilvl w:val="0"/>
          <w:numId w:val="68"/>
        </w:numPr>
        <w:spacing w:before="240"/>
      </w:pPr>
      <w:r>
        <w:t>A person with a medical disability may also lack cap</w:t>
      </w:r>
      <w:r w:rsidR="005A495B">
        <w:t>acity to give consent.</w:t>
      </w:r>
    </w:p>
    <w:p w14:paraId="5638445E" w14:textId="7D1EBAA6" w:rsidR="005A495B" w:rsidRDefault="005A495B" w:rsidP="006A64BD">
      <w:pPr>
        <w:pStyle w:val="ListParagraph"/>
        <w:numPr>
          <w:ilvl w:val="0"/>
          <w:numId w:val="68"/>
        </w:numPr>
        <w:spacing w:before="240"/>
      </w:pPr>
      <w:r>
        <w:t>Sexual activity with a minor (a person under 18 years old) is not consensual, because a minor is considered incapable of giving consent due to age.</w:t>
      </w:r>
    </w:p>
    <w:p w14:paraId="4966B90B" w14:textId="4B76ABBD" w:rsidR="005A495B" w:rsidRDefault="005A495B" w:rsidP="006A64BD">
      <w:pPr>
        <w:pStyle w:val="ListParagraph"/>
        <w:numPr>
          <w:ilvl w:val="0"/>
          <w:numId w:val="68"/>
        </w:numPr>
        <w:spacing w:before="240"/>
      </w:pPr>
      <w:r>
        <w:t xml:space="preserve">It shall not be a valid excuse that a person affirmatively consented to the sexual activity if the respondent knew or reasonably should have </w:t>
      </w:r>
      <w:r w:rsidR="00BD2ED6">
        <w:t>known</w:t>
      </w:r>
      <w:r>
        <w:t xml:space="preserve"> that the person was unable to consent to the sexual activity under any of the following</w:t>
      </w:r>
      <w:r w:rsidR="00186F07">
        <w:t xml:space="preserve"> circumstances:</w:t>
      </w:r>
    </w:p>
    <w:p w14:paraId="1EE1A097" w14:textId="7125D35F" w:rsidR="00186F07" w:rsidRDefault="00186F07" w:rsidP="006A64BD">
      <w:pPr>
        <w:pStyle w:val="ListParagraph"/>
        <w:numPr>
          <w:ilvl w:val="1"/>
          <w:numId w:val="68"/>
        </w:numPr>
        <w:spacing w:before="240"/>
      </w:pPr>
      <w:r>
        <w:t>The person was asleep or unconscious</w:t>
      </w:r>
      <w:r w:rsidR="00926CF0">
        <w:t>;</w:t>
      </w:r>
    </w:p>
    <w:p w14:paraId="2CBCD444" w14:textId="50EB6E21" w:rsidR="00926CF0" w:rsidRDefault="00926CF0" w:rsidP="006A64BD">
      <w:pPr>
        <w:pStyle w:val="ListParagraph"/>
        <w:numPr>
          <w:ilvl w:val="1"/>
          <w:numId w:val="68"/>
        </w:numPr>
        <w:spacing w:before="240"/>
      </w:pPr>
      <w:r>
        <w:t>The person was incapacitated due to the influence of drugs, alcohol</w:t>
      </w:r>
      <w:r w:rsidR="00137BEB">
        <w:t xml:space="preserve"> or medication, so that the person could not understand</w:t>
      </w:r>
      <w:r w:rsidR="00767658">
        <w:t xml:space="preserve"> the fact, nature or extent of the sexual activity;</w:t>
      </w:r>
    </w:p>
    <w:p w14:paraId="02BD3232" w14:textId="1086EDFA" w:rsidR="00767658" w:rsidRDefault="00767658" w:rsidP="006A64BD">
      <w:pPr>
        <w:pStyle w:val="ListParagraph"/>
        <w:numPr>
          <w:ilvl w:val="1"/>
          <w:numId w:val="68"/>
        </w:numPr>
        <w:spacing w:before="240"/>
      </w:pPr>
      <w:r>
        <w:t>The person was unable to communicate due to a mental or physical condition.</w:t>
      </w:r>
    </w:p>
    <w:p w14:paraId="5B81893C" w14:textId="1FB0CEC3" w:rsidR="00767658" w:rsidRDefault="00767658" w:rsidP="006A64BD">
      <w:pPr>
        <w:pStyle w:val="ListParagraph"/>
        <w:numPr>
          <w:ilvl w:val="0"/>
          <w:numId w:val="68"/>
        </w:numPr>
        <w:spacing w:before="240"/>
      </w:pPr>
      <w:r>
        <w:t>It shall not be a valid excuse that the respondent believed that the person consented to the sexual activity under either of the following circumstances:</w:t>
      </w:r>
    </w:p>
    <w:p w14:paraId="51B8C744" w14:textId="14475F63" w:rsidR="00767658" w:rsidRDefault="00767658" w:rsidP="006A64BD">
      <w:pPr>
        <w:pStyle w:val="ListParagraph"/>
        <w:numPr>
          <w:ilvl w:val="1"/>
          <w:numId w:val="68"/>
        </w:numPr>
        <w:spacing w:before="240"/>
      </w:pPr>
      <w:r>
        <w:t>The respondent’s belief in Affirmative Consent arose from the intoxication or recklessness of the respondent;</w:t>
      </w:r>
    </w:p>
    <w:p w14:paraId="092C5A00" w14:textId="4CDA7719" w:rsidR="00136677" w:rsidRDefault="00767658" w:rsidP="006A64BD">
      <w:pPr>
        <w:pStyle w:val="ListParagraph"/>
        <w:numPr>
          <w:ilvl w:val="1"/>
          <w:numId w:val="68"/>
        </w:numPr>
        <w:spacing w:before="240"/>
      </w:pPr>
      <w:r>
        <w:lastRenderedPageBreak/>
        <w:t>The respondent did not take reasonable</w:t>
      </w:r>
      <w:r w:rsidR="0004311C">
        <w:t xml:space="preserve"> steps, in the circumstances knows to the respondent at the time, to ascertain whether the person affirmatively consented.</w:t>
      </w:r>
    </w:p>
    <w:p w14:paraId="52BC459C" w14:textId="77777777" w:rsidR="001A2E10" w:rsidRDefault="001A2E10" w:rsidP="001A2E10">
      <w:pPr>
        <w:pStyle w:val="ListParagraph"/>
        <w:spacing w:before="240"/>
        <w:ind w:left="1080"/>
      </w:pPr>
    </w:p>
    <w:p w14:paraId="466F605C" w14:textId="77777777" w:rsidR="001A2E10" w:rsidRPr="00136677" w:rsidRDefault="001A2E10" w:rsidP="001A2E10">
      <w:pPr>
        <w:pStyle w:val="ListParagraph"/>
        <w:spacing w:before="240"/>
        <w:ind w:left="1080"/>
      </w:pPr>
    </w:p>
    <w:p w14:paraId="6992D3B7" w14:textId="4D539A97" w:rsidR="001A74F4" w:rsidRPr="008B3567" w:rsidRDefault="001A2E10" w:rsidP="001A2E10">
      <w:pPr>
        <w:pStyle w:val="Heading2"/>
        <w:rPr>
          <w:rFonts w:ascii="Aptos" w:hAnsi="Aptos"/>
          <w:sz w:val="32"/>
          <w:szCs w:val="32"/>
        </w:rPr>
      </w:pPr>
      <w:bookmarkStart w:id="80" w:name="_Toc209014431"/>
      <w:r w:rsidRPr="008B3567">
        <w:rPr>
          <w:rFonts w:ascii="Aptos" w:hAnsi="Aptos"/>
          <w:sz w:val="32"/>
          <w:szCs w:val="32"/>
        </w:rPr>
        <w:t>18.0 HAZING Policy</w:t>
      </w:r>
      <w:bookmarkEnd w:id="80"/>
    </w:p>
    <w:p w14:paraId="39D0EC81" w14:textId="77777777" w:rsidR="001C788B" w:rsidRPr="008B3567" w:rsidRDefault="001C788B" w:rsidP="001C788B">
      <w:pPr>
        <w:pStyle w:val="Subtitle"/>
        <w:rPr>
          <w:rFonts w:ascii="Aptos" w:hAnsi="Aptos"/>
          <w:sz w:val="28"/>
          <w:szCs w:val="28"/>
        </w:rPr>
      </w:pPr>
      <w:r w:rsidRPr="008B3567">
        <w:rPr>
          <w:rFonts w:ascii="Aptos" w:hAnsi="Aptos"/>
          <w:sz w:val="28"/>
          <w:szCs w:val="28"/>
        </w:rPr>
        <w:t>Adherence to the Stop Campus Hazing Act</w:t>
      </w:r>
    </w:p>
    <w:p w14:paraId="75369E72" w14:textId="77777777" w:rsidR="001C788B" w:rsidRPr="008B3567" w:rsidRDefault="001C788B" w:rsidP="001C788B">
      <w:pPr>
        <w:pStyle w:val="Subtitle"/>
        <w:rPr>
          <w:rFonts w:ascii="Aptos" w:hAnsi="Aptos"/>
          <w:sz w:val="28"/>
          <w:szCs w:val="28"/>
        </w:rPr>
      </w:pPr>
    </w:p>
    <w:p w14:paraId="2D6A3B3C" w14:textId="1F0DF32C" w:rsidR="001C788B" w:rsidRPr="008B3567" w:rsidRDefault="001C788B" w:rsidP="001C788B">
      <w:pPr>
        <w:pStyle w:val="Subtitle"/>
        <w:rPr>
          <w:rFonts w:ascii="Aptos" w:hAnsi="Aptos"/>
          <w:sz w:val="28"/>
          <w:szCs w:val="28"/>
        </w:rPr>
      </w:pPr>
      <w:r w:rsidRPr="008B3567">
        <w:rPr>
          <w:rFonts w:ascii="Aptos" w:hAnsi="Aptos"/>
          <w:sz w:val="28"/>
          <w:szCs w:val="28"/>
        </w:rPr>
        <w:t>Hazing is a severe policy violation at NHS College and is prohibited. The institution fully supports the Stop Campus Hazing Act, signed into law on December 23, 2024, as Public Law 118-173.</w:t>
      </w:r>
    </w:p>
    <w:p w14:paraId="5F6F2C2F" w14:textId="77777777" w:rsidR="001C788B" w:rsidRPr="001C788B" w:rsidRDefault="001C788B" w:rsidP="001C788B">
      <w:pPr>
        <w:pStyle w:val="Heading1"/>
        <w:rPr>
          <w:sz w:val="28"/>
          <w:szCs w:val="28"/>
        </w:rPr>
      </w:pPr>
      <w:bookmarkStart w:id="81" w:name="_Toc209014432"/>
      <w:r w:rsidRPr="001C788B">
        <w:rPr>
          <w:sz w:val="28"/>
          <w:szCs w:val="28"/>
        </w:rPr>
        <w:t>Definition of Hazing</w:t>
      </w:r>
      <w:bookmarkEnd w:id="81"/>
    </w:p>
    <w:p w14:paraId="46FEFA8A" w14:textId="77777777" w:rsidR="001C788B" w:rsidRDefault="001C788B" w:rsidP="001C788B">
      <w:r w:rsidRPr="005461DD">
        <w:t>Hazing is defined as any intentional, knowing, or reckless act committed by a person, whether individually or in concert with others, against another person or persons, regardless of the willingness of such other person or persons to participate. This definition encompasses acts committed in the course of an initiation into, an affiliation with, or the maintenance of membership in a student organization. Hazing creates risks that exceed those reasonably encountered during participation in higher education or within an organization, such as the physical preparation necessary for participation in an athletic team.</w:t>
      </w:r>
    </w:p>
    <w:p w14:paraId="3EDE5673" w14:textId="77777777" w:rsidR="001C788B" w:rsidRPr="001C788B" w:rsidRDefault="001C788B" w:rsidP="001C788B">
      <w:pPr>
        <w:pStyle w:val="Heading2"/>
        <w:rPr>
          <w:sz w:val="28"/>
          <w:szCs w:val="28"/>
        </w:rPr>
      </w:pPr>
      <w:bookmarkStart w:id="82" w:name="_Toc209014433"/>
      <w:r w:rsidRPr="001C788B">
        <w:rPr>
          <w:sz w:val="28"/>
          <w:szCs w:val="28"/>
        </w:rPr>
        <w:t>Types of Hazing</w:t>
      </w:r>
      <w:bookmarkEnd w:id="82"/>
    </w:p>
    <w:p w14:paraId="72A75D34" w14:textId="77777777" w:rsidR="001C788B" w:rsidRDefault="001C788B" w:rsidP="001C788B">
      <w:r w:rsidRPr="005461DD">
        <w:t>Hazing can take many forms, including:</w:t>
      </w:r>
    </w:p>
    <w:p w14:paraId="19AF9585" w14:textId="77777777" w:rsidR="001C788B" w:rsidRDefault="001C788B" w:rsidP="001C788B">
      <w:pPr>
        <w:pStyle w:val="ListParagraph"/>
        <w:numPr>
          <w:ilvl w:val="0"/>
          <w:numId w:val="70"/>
        </w:numPr>
        <w:spacing w:before="0" w:after="160" w:line="278" w:lineRule="auto"/>
      </w:pPr>
      <w:r w:rsidRPr="005461DD">
        <w:t>Physical Hazing: Activities that cause or have the potential to cause physical harm or undue stress</w:t>
      </w:r>
      <w:r>
        <w:t>, such as whipping, beating, striking, electronic shocking, placing of a harmful substance on someone’s body, or similar activity, exposure to the elements, causing or coercing, or otherwise inducing sleep deprivation, confinement in a small space, extreme calisthenics, or similar activity.</w:t>
      </w:r>
    </w:p>
    <w:p w14:paraId="0007CC16" w14:textId="77777777" w:rsidR="001C788B" w:rsidRDefault="001C788B" w:rsidP="001C788B">
      <w:pPr>
        <w:pStyle w:val="ListParagraph"/>
        <w:numPr>
          <w:ilvl w:val="0"/>
          <w:numId w:val="70"/>
        </w:numPr>
        <w:spacing w:before="0" w:after="160" w:line="278" w:lineRule="auto"/>
      </w:pPr>
      <w:r w:rsidRPr="005461DD">
        <w:t>Psychological Hazing: Acts that cause emotional or psychological distress or harm.</w:t>
      </w:r>
    </w:p>
    <w:p w14:paraId="462D2762" w14:textId="77777777" w:rsidR="001C788B" w:rsidRDefault="001C788B" w:rsidP="001C788B">
      <w:pPr>
        <w:pStyle w:val="ListParagraph"/>
        <w:numPr>
          <w:ilvl w:val="0"/>
          <w:numId w:val="70"/>
        </w:numPr>
        <w:spacing w:before="0" w:after="160" w:line="278" w:lineRule="auto"/>
      </w:pPr>
      <w:r w:rsidRPr="005461DD">
        <w:lastRenderedPageBreak/>
        <w:t xml:space="preserve">Forced Consumption: Making individuals consume </w:t>
      </w:r>
      <w:r>
        <w:t xml:space="preserve">food, liquid, </w:t>
      </w:r>
      <w:r w:rsidRPr="005461DD">
        <w:t>alcohol, drugs, or other substances.</w:t>
      </w:r>
    </w:p>
    <w:p w14:paraId="4D4CA7B4" w14:textId="77777777" w:rsidR="001C788B" w:rsidRDefault="001C788B" w:rsidP="001C788B">
      <w:pPr>
        <w:pStyle w:val="ListParagraph"/>
        <w:numPr>
          <w:ilvl w:val="0"/>
          <w:numId w:val="70"/>
        </w:numPr>
        <w:spacing w:before="0" w:after="160" w:line="278" w:lineRule="auto"/>
      </w:pPr>
      <w:r>
        <w:t>Causing, coercing, or otherwise inducing another person to perform sexual acts;</w:t>
      </w:r>
    </w:p>
    <w:p w14:paraId="10CA8859" w14:textId="77777777" w:rsidR="001C788B" w:rsidRDefault="001C788B" w:rsidP="001C788B">
      <w:pPr>
        <w:pStyle w:val="ListParagraph"/>
        <w:numPr>
          <w:ilvl w:val="0"/>
          <w:numId w:val="70"/>
        </w:numPr>
        <w:spacing w:before="0" w:after="160" w:line="278" w:lineRule="auto"/>
      </w:pPr>
      <w:bookmarkStart w:id="83" w:name="_Hlk196304187"/>
      <w:r>
        <w:t>Any activity that places another person in reasonable fear of bodily harm through the use of threating words or conduct;</w:t>
      </w:r>
    </w:p>
    <w:bookmarkEnd w:id="83"/>
    <w:p w14:paraId="44DD7DA5" w14:textId="77777777" w:rsidR="001C788B" w:rsidRDefault="001C788B" w:rsidP="001C788B">
      <w:pPr>
        <w:pStyle w:val="ListParagraph"/>
        <w:numPr>
          <w:ilvl w:val="0"/>
          <w:numId w:val="70"/>
        </w:numPr>
        <w:spacing w:before="0" w:after="160" w:line="278" w:lineRule="auto"/>
      </w:pPr>
      <w:r w:rsidRPr="005461DD">
        <w:t>Humiliation: Activities that embarrass, shame, or degrade an individual.</w:t>
      </w:r>
    </w:p>
    <w:p w14:paraId="002A0F71" w14:textId="77777777" w:rsidR="001C788B" w:rsidRDefault="001C788B" w:rsidP="001C788B">
      <w:pPr>
        <w:pStyle w:val="ListParagraph"/>
        <w:numPr>
          <w:ilvl w:val="0"/>
          <w:numId w:val="70"/>
        </w:numPr>
        <w:spacing w:before="0" w:after="160" w:line="278" w:lineRule="auto"/>
      </w:pPr>
      <w:r w:rsidRPr="005461DD">
        <w:t>Endangerment: Actions that put individuals at risk of harm or injury.</w:t>
      </w:r>
      <w:r>
        <w:t xml:space="preserve"> Any activity that places another person in reasonable fear of bodily harm through the use of threating words or conduct;</w:t>
      </w:r>
    </w:p>
    <w:p w14:paraId="689F1620" w14:textId="77777777" w:rsidR="001C788B" w:rsidRDefault="001C788B" w:rsidP="001C788B">
      <w:pPr>
        <w:pStyle w:val="ListParagraph"/>
        <w:numPr>
          <w:ilvl w:val="0"/>
          <w:numId w:val="70"/>
        </w:numPr>
        <w:spacing w:before="0" w:after="160" w:line="278" w:lineRule="auto"/>
      </w:pPr>
      <w:r>
        <w:t>Criminal Violation of local, State, Tribal or Federal law by any activity against another person or an activity to perform a task that violates the criminal law.</w:t>
      </w:r>
    </w:p>
    <w:p w14:paraId="3A20ACAF" w14:textId="77777777" w:rsidR="001C788B" w:rsidRPr="00D61E7F" w:rsidRDefault="001C788B" w:rsidP="001C788B">
      <w:pPr>
        <w:pStyle w:val="ListParagraph"/>
        <w:rPr>
          <w:color w:val="005494" w:themeColor="accent1" w:themeShade="BF"/>
        </w:rPr>
      </w:pPr>
    </w:p>
    <w:p w14:paraId="128D7C62" w14:textId="77777777" w:rsidR="001C788B" w:rsidRPr="001C788B" w:rsidRDefault="001C788B" w:rsidP="001C788B">
      <w:pPr>
        <w:spacing w:after="240" w:line="312" w:lineRule="atLeast"/>
        <w:outlineLvl w:val="0"/>
        <w:rPr>
          <w:rFonts w:eastAsia="Times New Roman" w:cs="Times New Roman"/>
          <w:color w:val="005494" w:themeColor="accent1" w:themeShade="BF"/>
          <w:kern w:val="36"/>
          <w:sz w:val="28"/>
          <w:szCs w:val="28"/>
        </w:rPr>
      </w:pPr>
      <w:bookmarkStart w:id="84" w:name="_Toc209014434"/>
      <w:r w:rsidRPr="001C788B">
        <w:rPr>
          <w:rFonts w:eastAsia="Times New Roman" w:cs="Times New Roman"/>
          <w:color w:val="005494" w:themeColor="accent1" w:themeShade="BF"/>
          <w:kern w:val="36"/>
          <w:sz w:val="28"/>
          <w:szCs w:val="28"/>
        </w:rPr>
        <w:t>North Dakota Anti-Hazing Law</w:t>
      </w:r>
      <w:bookmarkEnd w:id="84"/>
    </w:p>
    <w:p w14:paraId="58E98807" w14:textId="77777777" w:rsidR="001C788B" w:rsidRPr="005E6377" w:rsidRDefault="001C788B" w:rsidP="001C788B">
      <w:pPr>
        <w:spacing w:after="192" w:line="360" w:lineRule="atLeast"/>
        <w:rPr>
          <w:rFonts w:eastAsia="Times New Roman" w:cs="Times New Roman"/>
          <w:color w:val="000000"/>
          <w:sz w:val="26"/>
          <w:szCs w:val="26"/>
        </w:rPr>
      </w:pPr>
      <w:hyperlink r:id="rId46" w:tgtFrame="_blank" w:history="1">
        <w:r w:rsidRPr="005E6377">
          <w:rPr>
            <w:rFonts w:eastAsia="Times New Roman" w:cs="Times New Roman"/>
            <w:color w:val="253A4F"/>
            <w:sz w:val="26"/>
            <w:szCs w:val="26"/>
            <w:u w:val="single"/>
          </w:rPr>
          <w:t>§ 12.1-17-10. Hazing — Penalty</w:t>
        </w:r>
        <w:r w:rsidRPr="005E6377">
          <w:rPr>
            <w:rFonts w:eastAsia="Times New Roman" w:cs="Times New Roman"/>
            <w:color w:val="253A4F"/>
            <w:sz w:val="26"/>
            <w:szCs w:val="26"/>
            <w:u w:val="single"/>
          </w:rPr>
          <w:br/>
        </w:r>
      </w:hyperlink>
      <w:r w:rsidRPr="005E6377">
        <w:rPr>
          <w:rFonts w:eastAsia="Times New Roman" w:cs="Times New Roman"/>
          <w:color w:val="000000"/>
          <w:sz w:val="26"/>
          <w:szCs w:val="26"/>
        </w:rPr>
        <w:t>A person is guilty of an offense when, in the course of another person’s initiation into or affiliation with any organization, the person willfully engages in conduct that creates a substantial risk of physical injury to that other person or a third person. As used in this section, “conduct” means any treatment or forced physical activity that is likely to adversely affect the physical health or safety of that other person or a third person, or which subjects that other person or third person to extreme mental stress, and may include extended deprivation of sleep or rest or extended isolation, whipping, beating, branding, forced calisthenics, overexposure to the weather, and forced consumption of any food, liquor, beverage, drug, or other substance. The offense is a class A misdemeanor if the actor’s conduct causes physical injury, otherwise the offense is a class B misdemeanor.</w:t>
      </w:r>
    </w:p>
    <w:p w14:paraId="121458E0" w14:textId="77777777" w:rsidR="001C788B" w:rsidRPr="001C788B" w:rsidRDefault="001C788B" w:rsidP="001C788B">
      <w:pPr>
        <w:pStyle w:val="Heading1"/>
        <w:rPr>
          <w:sz w:val="28"/>
          <w:szCs w:val="28"/>
        </w:rPr>
      </w:pPr>
      <w:bookmarkStart w:id="85" w:name="_Toc209014435"/>
      <w:r w:rsidRPr="001C788B">
        <w:rPr>
          <w:sz w:val="28"/>
          <w:szCs w:val="28"/>
        </w:rPr>
        <w:t>Consequences of Hazing</w:t>
      </w:r>
      <w:bookmarkEnd w:id="85"/>
    </w:p>
    <w:p w14:paraId="31A2452B" w14:textId="77777777" w:rsidR="001C788B" w:rsidRDefault="001C788B" w:rsidP="001C788B">
      <w:r w:rsidRPr="005461DD">
        <w:t>NHS College takes a zero-tolerance stance on hazing. The consequences for individuals found guilty of hazing can include:</w:t>
      </w:r>
    </w:p>
    <w:p w14:paraId="39445A83" w14:textId="77777777" w:rsidR="001C788B" w:rsidRDefault="001C788B" w:rsidP="001C788B">
      <w:pPr>
        <w:pStyle w:val="ListParagraph"/>
        <w:numPr>
          <w:ilvl w:val="0"/>
          <w:numId w:val="71"/>
        </w:numPr>
        <w:spacing w:before="0" w:after="160" w:line="278" w:lineRule="auto"/>
      </w:pPr>
      <w:r w:rsidRPr="005461DD">
        <w:t>Immediate suspension or expulsion from the institution.</w:t>
      </w:r>
    </w:p>
    <w:p w14:paraId="0E512FE8" w14:textId="77777777" w:rsidR="001C788B" w:rsidRDefault="001C788B" w:rsidP="001C788B">
      <w:pPr>
        <w:pStyle w:val="ListParagraph"/>
        <w:numPr>
          <w:ilvl w:val="0"/>
          <w:numId w:val="71"/>
        </w:numPr>
        <w:spacing w:before="0" w:after="160" w:line="278" w:lineRule="auto"/>
      </w:pPr>
      <w:r w:rsidRPr="005461DD">
        <w:t>Revocation of organizational membership.</w:t>
      </w:r>
    </w:p>
    <w:p w14:paraId="5BA7825D" w14:textId="77777777" w:rsidR="001C788B" w:rsidRDefault="001C788B" w:rsidP="001C788B">
      <w:pPr>
        <w:pStyle w:val="ListParagraph"/>
        <w:numPr>
          <w:ilvl w:val="0"/>
          <w:numId w:val="71"/>
        </w:numPr>
        <w:spacing w:before="0" w:after="160" w:line="278" w:lineRule="auto"/>
      </w:pPr>
      <w:r w:rsidRPr="005461DD">
        <w:t>Legal action and potential criminal charges.</w:t>
      </w:r>
    </w:p>
    <w:p w14:paraId="444114A2" w14:textId="77777777" w:rsidR="001C788B" w:rsidRPr="001C788B" w:rsidRDefault="001C788B" w:rsidP="001C788B">
      <w:pPr>
        <w:pStyle w:val="Heading2"/>
        <w:rPr>
          <w:sz w:val="28"/>
          <w:szCs w:val="28"/>
        </w:rPr>
      </w:pPr>
      <w:bookmarkStart w:id="86" w:name="_Hlk196578383"/>
      <w:bookmarkStart w:id="87" w:name="_Toc209014436"/>
      <w:r w:rsidRPr="001C788B">
        <w:rPr>
          <w:sz w:val="28"/>
          <w:szCs w:val="28"/>
        </w:rPr>
        <w:lastRenderedPageBreak/>
        <w:t>Support and Reporting</w:t>
      </w:r>
      <w:bookmarkEnd w:id="87"/>
    </w:p>
    <w:bookmarkEnd w:id="86"/>
    <w:p w14:paraId="0FC16571" w14:textId="77777777" w:rsidR="001C788B" w:rsidRDefault="001C788B" w:rsidP="001C788B">
      <w:r w:rsidRPr="005461DD">
        <w:t>The college encourages all students</w:t>
      </w:r>
      <w:r>
        <w:t xml:space="preserve"> and staff </w:t>
      </w:r>
      <w:r w:rsidRPr="005461DD">
        <w:t>to report any hazing incidents</w:t>
      </w:r>
      <w:r>
        <w:t xml:space="preserve"> to campus security or the VP of Campus Services.  </w:t>
      </w:r>
      <w:r w:rsidRPr="005461DD">
        <w:t xml:space="preserve"> Support services and confidential reporting mechanisms are available to ensure the safety and well-being of all students.</w:t>
      </w:r>
      <w:r>
        <w:t xml:space="preserve">  The campus security or the Dean of Students will investigate all reports of hazing using applicable local, State, and Tribal laws on hazing.  </w:t>
      </w:r>
    </w:p>
    <w:p w14:paraId="095D6AAF" w14:textId="77777777" w:rsidR="001C788B" w:rsidRDefault="001C788B" w:rsidP="001C788B">
      <w:r>
        <w:t>Be sure to include the following information when reporting an act of hazing:</w:t>
      </w:r>
    </w:p>
    <w:p w14:paraId="5FD26BC0" w14:textId="77777777" w:rsidR="001C788B" w:rsidRDefault="001C788B" w:rsidP="001C788B">
      <w:pPr>
        <w:pStyle w:val="ListParagraph"/>
        <w:numPr>
          <w:ilvl w:val="0"/>
          <w:numId w:val="72"/>
        </w:numPr>
        <w:spacing w:before="0" w:after="160" w:line="278" w:lineRule="auto"/>
      </w:pPr>
      <w:r>
        <w:t>A general description of the violation, whether the violation included the abuse or illegal use of alcohol and drugs.</w:t>
      </w:r>
    </w:p>
    <w:p w14:paraId="267C9D16" w14:textId="77777777" w:rsidR="001C788B" w:rsidRDefault="001C788B" w:rsidP="001C788B">
      <w:pPr>
        <w:pStyle w:val="ListParagraph"/>
        <w:numPr>
          <w:ilvl w:val="0"/>
          <w:numId w:val="72"/>
        </w:numPr>
        <w:spacing w:before="0" w:after="160" w:line="278" w:lineRule="auto"/>
      </w:pPr>
      <w:r>
        <w:t>The dates of the violation was alleged to have occurred.</w:t>
      </w:r>
    </w:p>
    <w:p w14:paraId="15A323E5" w14:textId="3C2175EB" w:rsidR="001C788B" w:rsidRDefault="001C788B" w:rsidP="001C788B">
      <w:pPr>
        <w:pStyle w:val="ListParagraph"/>
        <w:numPr>
          <w:ilvl w:val="0"/>
          <w:numId w:val="72"/>
        </w:numPr>
        <w:spacing w:before="0" w:after="160" w:line="278" w:lineRule="auto"/>
      </w:pPr>
      <w:r>
        <w:t>The student organization was involved.</w:t>
      </w:r>
    </w:p>
    <w:p w14:paraId="2EA4C5EF" w14:textId="77777777" w:rsidR="001C788B" w:rsidRDefault="001C788B" w:rsidP="001C788B"/>
    <w:p w14:paraId="024A2F14" w14:textId="77777777" w:rsidR="001C788B" w:rsidRDefault="001C788B" w:rsidP="001C788B">
      <w:r w:rsidRPr="005461DD">
        <w:t>NHS College remains committed to fostering a safe and inclusive environment where all students can thrive without fear of hazing or harassment.</w:t>
      </w:r>
      <w:r>
        <w:t xml:space="preserve">  The College plans to implemented the following prevention and awareness programs: </w:t>
      </w:r>
    </w:p>
    <w:p w14:paraId="72FCD027" w14:textId="77777777" w:rsidR="001C788B" w:rsidRDefault="001C788B" w:rsidP="001C788B">
      <w:pPr>
        <w:pStyle w:val="ListParagraph"/>
        <w:numPr>
          <w:ilvl w:val="0"/>
          <w:numId w:val="73"/>
        </w:numPr>
        <w:spacing w:before="0" w:after="160" w:line="278" w:lineRule="auto"/>
        <w:ind w:left="720"/>
      </w:pPr>
      <w:r w:rsidRPr="00983D0D">
        <w:t>An online course on hazing, available for students starting July 2025.</w:t>
      </w:r>
    </w:p>
    <w:p w14:paraId="67CA69B8" w14:textId="77777777" w:rsidR="001C788B" w:rsidRDefault="001C788B" w:rsidP="001C788B">
      <w:pPr>
        <w:pStyle w:val="ListParagraph"/>
        <w:numPr>
          <w:ilvl w:val="0"/>
          <w:numId w:val="73"/>
        </w:numPr>
        <w:spacing w:before="0" w:after="160" w:line="278" w:lineRule="auto"/>
        <w:ind w:left="720"/>
      </w:pPr>
      <w:r>
        <w:t>Awareness activities using brochures and activities to stop hazing before it occurs.</w:t>
      </w:r>
    </w:p>
    <w:p w14:paraId="5B46AADB" w14:textId="77777777" w:rsidR="001C788B" w:rsidRPr="001C788B" w:rsidRDefault="001C788B" w:rsidP="001C788B">
      <w:pPr>
        <w:pStyle w:val="Heading2"/>
        <w:rPr>
          <w:sz w:val="28"/>
          <w:szCs w:val="28"/>
        </w:rPr>
      </w:pPr>
      <w:bookmarkStart w:id="88" w:name="_Toc209014437"/>
      <w:r w:rsidRPr="001C788B">
        <w:rPr>
          <w:sz w:val="28"/>
          <w:szCs w:val="28"/>
        </w:rPr>
        <w:t>Campus Hazing Transparency Report</w:t>
      </w:r>
      <w:bookmarkEnd w:id="88"/>
    </w:p>
    <w:p w14:paraId="41158CCB" w14:textId="6B1F5651" w:rsidR="001C788B" w:rsidRDefault="001C788B" w:rsidP="001C788B">
      <w:r>
        <w:t>Starting in December of 2025, the College will produce a report summarizing findings concerning any student organization found to be in violation of the hazing policy.  This report will be publicly available on the institution’s website and reported out 2 times a year and updated for additional findings.</w:t>
      </w:r>
    </w:p>
    <w:p w14:paraId="72C71D89" w14:textId="77777777" w:rsidR="001C788B" w:rsidRPr="001C788B" w:rsidRDefault="001C788B" w:rsidP="001C788B">
      <w:pPr>
        <w:pStyle w:val="Heading2"/>
        <w:rPr>
          <w:sz w:val="28"/>
          <w:szCs w:val="28"/>
        </w:rPr>
      </w:pPr>
      <w:bookmarkStart w:id="89" w:name="_Toc209014438"/>
      <w:r w:rsidRPr="001C788B">
        <w:rPr>
          <w:sz w:val="28"/>
          <w:szCs w:val="28"/>
        </w:rPr>
        <w:t>Definition of Student Organization</w:t>
      </w:r>
      <w:bookmarkEnd w:id="89"/>
    </w:p>
    <w:p w14:paraId="5BC51025" w14:textId="77777777" w:rsidR="001C788B" w:rsidRPr="00E657F8" w:rsidRDefault="001C788B" w:rsidP="001C788B">
      <w:r w:rsidRPr="003820B2">
        <w:t xml:space="preserve">A student organization at a higher education institution comprises two or more enrolled students. This includes clubs, societies, associations, sports teams, fraternities, sororities, </w:t>
      </w:r>
      <w:r w:rsidRPr="003820B2">
        <w:lastRenderedPageBreak/>
        <w:t>bands, or student government. It encompasses recognized groups of students pursuing common goals and interests, from academic and sports teams to social and cultural groups.</w:t>
      </w:r>
    </w:p>
    <w:p w14:paraId="3C48007B" w14:textId="77777777" w:rsidR="001A2E10" w:rsidRPr="001A74F4" w:rsidRDefault="001A2E10" w:rsidP="001A2E10">
      <w:pPr>
        <w:pStyle w:val="Heading2"/>
      </w:pPr>
    </w:p>
    <w:p w14:paraId="681F2A44" w14:textId="77777777" w:rsidR="003C6282" w:rsidRPr="003C6282" w:rsidRDefault="003C6282" w:rsidP="00533648"/>
    <w:p w14:paraId="1B7BCFD0" w14:textId="77777777" w:rsidR="00DA15C6" w:rsidRPr="004E770F" w:rsidRDefault="00DA15C6" w:rsidP="00AD632A">
      <w:pPr>
        <w:ind w:left="360"/>
        <w:rPr>
          <w:color w:val="0072C6" w:themeColor="accent1"/>
        </w:rPr>
      </w:pPr>
    </w:p>
    <w:p w14:paraId="2633716E" w14:textId="075F0FC7" w:rsidR="00701C15" w:rsidRDefault="00701C15" w:rsidP="00FD07AF"/>
    <w:p w14:paraId="64ECF95E" w14:textId="6F336272" w:rsidR="00B10B5F" w:rsidRPr="004B1C61" w:rsidRDefault="00B10B5F" w:rsidP="004B1C61">
      <w:pPr>
        <w:pStyle w:val="Heading1"/>
      </w:pPr>
      <w:bookmarkStart w:id="90" w:name="_Toc209014439"/>
      <w:r w:rsidRPr="004B1C61">
        <w:lastRenderedPageBreak/>
        <w:t>appendix</w:t>
      </w:r>
      <w:bookmarkEnd w:id="90"/>
    </w:p>
    <w:p w14:paraId="75FBF119" w14:textId="42533D02" w:rsidR="004C5221" w:rsidRDefault="00B10B5F" w:rsidP="00B10B5F">
      <w:pPr>
        <w:pStyle w:val="Heading2"/>
      </w:pPr>
      <w:bookmarkStart w:id="91" w:name="_Toc209014440"/>
      <w:r>
        <w:t>Campus Ma</w:t>
      </w:r>
      <w:r w:rsidR="000C798F">
        <w:t>p</w:t>
      </w:r>
      <w:bookmarkEnd w:id="91"/>
    </w:p>
    <w:p w14:paraId="356D2474" w14:textId="0E583DE3" w:rsidR="000C798F" w:rsidRPr="00DC0403" w:rsidRDefault="000C798F" w:rsidP="00B10B5F">
      <w:pPr>
        <w:pStyle w:val="Heading2"/>
      </w:pPr>
      <w:bookmarkStart w:id="92" w:name="_Toc114771943"/>
      <w:bookmarkStart w:id="93" w:name="_Toc209014441"/>
      <w:r w:rsidRPr="000C798F">
        <w:rPr>
          <w:noProof/>
        </w:rPr>
        <w:drawing>
          <wp:anchor distT="0" distB="0" distL="114300" distR="114300" simplePos="0" relativeHeight="251681792" behindDoc="0" locked="0" layoutInCell="1" allowOverlap="1" wp14:anchorId="08B47178" wp14:editId="18A8F19B">
            <wp:simplePos x="0" y="0"/>
            <wp:positionH relativeFrom="margin">
              <wp:posOffset>601980</wp:posOffset>
            </wp:positionH>
            <wp:positionV relativeFrom="paragraph">
              <wp:posOffset>368935</wp:posOffset>
            </wp:positionV>
            <wp:extent cx="4948307" cy="5928360"/>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48307" cy="5928360"/>
                    </a:xfrm>
                    <a:prstGeom prst="rect">
                      <a:avLst/>
                    </a:prstGeom>
                  </pic:spPr>
                </pic:pic>
              </a:graphicData>
            </a:graphic>
            <wp14:sizeRelH relativeFrom="page">
              <wp14:pctWidth>0</wp14:pctWidth>
            </wp14:sizeRelH>
            <wp14:sizeRelV relativeFrom="page">
              <wp14:pctHeight>0</wp14:pctHeight>
            </wp14:sizeRelV>
          </wp:anchor>
        </w:drawing>
      </w:r>
      <w:bookmarkEnd w:id="92"/>
      <w:bookmarkEnd w:id="93"/>
    </w:p>
    <w:sectPr w:rsidR="000C798F" w:rsidRPr="00DC0403" w:rsidSect="008C2A64">
      <w:headerReference w:type="even" r:id="rId48"/>
      <w:headerReference w:type="default" r:id="rId49"/>
      <w:footerReference w:type="default" r:id="rId50"/>
      <w:headerReference w:type="first" r:id="rId51"/>
      <w:footerReference w:type="first" r:id="rId52"/>
      <w:pgSz w:w="12240" w:h="15840"/>
      <w:pgMar w:top="1901" w:right="1008" w:bottom="1440" w:left="100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F9B49" w14:textId="77777777" w:rsidR="001E0631" w:rsidRDefault="001E0631">
      <w:pPr>
        <w:spacing w:before="0" w:after="0" w:line="240" w:lineRule="auto"/>
      </w:pPr>
      <w:r>
        <w:separator/>
      </w:r>
    </w:p>
    <w:p w14:paraId="1BE53370" w14:textId="77777777" w:rsidR="001E0631" w:rsidRDefault="001E0631"/>
  </w:endnote>
  <w:endnote w:type="continuationSeparator" w:id="0">
    <w:p w14:paraId="7FCD33ED" w14:textId="77777777" w:rsidR="001E0631" w:rsidRDefault="001E0631">
      <w:pPr>
        <w:spacing w:before="0" w:after="0" w:line="240" w:lineRule="auto"/>
      </w:pPr>
      <w:r>
        <w:continuationSeparator/>
      </w:r>
    </w:p>
    <w:p w14:paraId="7E4E0AD9" w14:textId="77777777" w:rsidR="001E0631" w:rsidRDefault="001E06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58BE2" w14:textId="602494DB" w:rsidR="00624126" w:rsidRPr="00624126" w:rsidRDefault="00624126" w:rsidP="009F4130">
    <w:pPr>
      <w:pStyle w:val="Footer"/>
      <w:tabs>
        <w:tab w:val="left" w:pos="1995"/>
      </w:tabs>
      <w:rPr>
        <w:color w:val="2F5496"/>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7966036"/>
      <w:docPartObj>
        <w:docPartGallery w:val="Page Numbers (Bottom of Page)"/>
        <w:docPartUnique/>
      </w:docPartObj>
    </w:sdtPr>
    <w:sdtEndPr>
      <w:rPr>
        <w:noProof/>
      </w:rPr>
    </w:sdtEndPr>
    <w:sdtContent>
      <w:p w14:paraId="48F90D14" w14:textId="269054CF" w:rsidR="00384413" w:rsidRDefault="0038441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DE72B7" w14:textId="62981304" w:rsidR="00D4304F" w:rsidRDefault="00D4304F" w:rsidP="00A17F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ED264" w14:textId="77777777" w:rsidR="00D4304F" w:rsidRDefault="00E414C1">
    <w:pPr>
      <w:pStyle w:val="Footer"/>
    </w:pPr>
    <w:sdt>
      <w:sdtPr>
        <w:alias w:val="Address | City, St Zip Code:"/>
        <w:tag w:val="Address | City, St Zip Code:"/>
        <w:id w:val="7803617"/>
        <w:temporary/>
        <w:showingPlcHdr/>
        <w15:appearance w15:val="hidden"/>
      </w:sdtPr>
      <w:sdtEndPr/>
      <w:sdtContent>
        <w:r w:rsidR="00EC5313">
          <w:t>Address | City, St Zip Code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5CD4E" w14:textId="77777777" w:rsidR="001E0631" w:rsidRDefault="001E0631">
      <w:pPr>
        <w:spacing w:before="0" w:after="0" w:line="240" w:lineRule="auto"/>
      </w:pPr>
      <w:r>
        <w:separator/>
      </w:r>
    </w:p>
    <w:p w14:paraId="78D1E9D9" w14:textId="77777777" w:rsidR="001E0631" w:rsidRDefault="001E0631"/>
  </w:footnote>
  <w:footnote w:type="continuationSeparator" w:id="0">
    <w:p w14:paraId="65AC7529" w14:textId="77777777" w:rsidR="001E0631" w:rsidRDefault="001E0631">
      <w:pPr>
        <w:spacing w:before="0" w:after="0" w:line="240" w:lineRule="auto"/>
      </w:pPr>
      <w:r>
        <w:continuationSeparator/>
      </w:r>
    </w:p>
    <w:p w14:paraId="24178EF2" w14:textId="77777777" w:rsidR="001E0631" w:rsidRDefault="001E06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2D252" w14:textId="77777777" w:rsidR="00A37383" w:rsidRDefault="00A373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49572" w14:textId="70CF0C1A" w:rsidR="00424AED" w:rsidRDefault="00577746">
    <w:pPr>
      <w:pStyle w:val="Header"/>
    </w:pPr>
    <w:r>
      <w:t>202</w:t>
    </w:r>
    <w:r w:rsidR="001A2E10">
      <w:t>5</w:t>
    </w:r>
    <w:r>
      <w:t xml:space="preserve"> Annual Security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4F3F8" w14:textId="77777777" w:rsidR="00A37383" w:rsidRDefault="00A373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C1C2D"/>
    <w:multiLevelType w:val="hybridMultilevel"/>
    <w:tmpl w:val="F8FC75D6"/>
    <w:lvl w:ilvl="0" w:tplc="858610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660571"/>
    <w:multiLevelType w:val="hybridMultilevel"/>
    <w:tmpl w:val="E048B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2418A"/>
    <w:multiLevelType w:val="hybridMultilevel"/>
    <w:tmpl w:val="2794AF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65113CF"/>
    <w:multiLevelType w:val="hybridMultilevel"/>
    <w:tmpl w:val="4E4AD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40628"/>
    <w:multiLevelType w:val="hybridMultilevel"/>
    <w:tmpl w:val="00BED3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C4B5103"/>
    <w:multiLevelType w:val="hybridMultilevel"/>
    <w:tmpl w:val="AD0AC416"/>
    <w:lvl w:ilvl="0" w:tplc="1A6C1D10">
      <w:start w:val="1"/>
      <w:numFmt w:val="decimal"/>
      <w:pStyle w:val="ListNumber"/>
      <w:lvlText w:val="%1."/>
      <w:lvlJc w:val="left"/>
      <w:pPr>
        <w:tabs>
          <w:tab w:val="num" w:pos="936"/>
        </w:tabs>
        <w:ind w:left="93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453F77"/>
    <w:multiLevelType w:val="hybridMultilevel"/>
    <w:tmpl w:val="A394F892"/>
    <w:lvl w:ilvl="0" w:tplc="126E4CD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52723B"/>
    <w:multiLevelType w:val="hybridMultilevel"/>
    <w:tmpl w:val="3D3A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D30578"/>
    <w:multiLevelType w:val="hybridMultilevel"/>
    <w:tmpl w:val="0DD0425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13001EC6"/>
    <w:multiLevelType w:val="hybridMultilevel"/>
    <w:tmpl w:val="6C72B3E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141B0A65"/>
    <w:multiLevelType w:val="hybridMultilevel"/>
    <w:tmpl w:val="FE385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360343"/>
    <w:multiLevelType w:val="hybridMultilevel"/>
    <w:tmpl w:val="AA6EB8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74B4FCD"/>
    <w:multiLevelType w:val="hybridMultilevel"/>
    <w:tmpl w:val="4FF02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9797974"/>
    <w:multiLevelType w:val="hybridMultilevel"/>
    <w:tmpl w:val="7952A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2C6AF3"/>
    <w:multiLevelType w:val="hybridMultilevel"/>
    <w:tmpl w:val="873EFD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E475278"/>
    <w:multiLevelType w:val="hybridMultilevel"/>
    <w:tmpl w:val="F6945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0D5F60"/>
    <w:multiLevelType w:val="hybridMultilevel"/>
    <w:tmpl w:val="0BB0DC7E"/>
    <w:lvl w:ilvl="0" w:tplc="1340BED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F360035"/>
    <w:multiLevelType w:val="hybridMultilevel"/>
    <w:tmpl w:val="56F2D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D365B2"/>
    <w:multiLevelType w:val="hybridMultilevel"/>
    <w:tmpl w:val="7B084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BD7598"/>
    <w:multiLevelType w:val="hybridMultilevel"/>
    <w:tmpl w:val="2924C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340E07"/>
    <w:multiLevelType w:val="hybridMultilevel"/>
    <w:tmpl w:val="050E3BFC"/>
    <w:lvl w:ilvl="0" w:tplc="1F7C62F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2AC570AA"/>
    <w:multiLevelType w:val="hybridMultilevel"/>
    <w:tmpl w:val="D77087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BED5DD4"/>
    <w:multiLevelType w:val="hybridMultilevel"/>
    <w:tmpl w:val="6AD84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242864"/>
    <w:multiLevelType w:val="hybridMultilevel"/>
    <w:tmpl w:val="54D4E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1729F4"/>
    <w:multiLevelType w:val="hybridMultilevel"/>
    <w:tmpl w:val="7CDA2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DA63F8"/>
    <w:multiLevelType w:val="hybridMultilevel"/>
    <w:tmpl w:val="E4AC2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4569AF"/>
    <w:multiLevelType w:val="hybridMultilevel"/>
    <w:tmpl w:val="6568C9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21F0982"/>
    <w:multiLevelType w:val="hybridMultilevel"/>
    <w:tmpl w:val="5F8AB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0B4A00"/>
    <w:multiLevelType w:val="hybridMultilevel"/>
    <w:tmpl w:val="35243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AE1448"/>
    <w:multiLevelType w:val="hybridMultilevel"/>
    <w:tmpl w:val="3C40E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6825C92"/>
    <w:multiLevelType w:val="hybridMultilevel"/>
    <w:tmpl w:val="25D4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3040D3"/>
    <w:multiLevelType w:val="hybridMultilevel"/>
    <w:tmpl w:val="5218E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4818E7"/>
    <w:multiLevelType w:val="hybridMultilevel"/>
    <w:tmpl w:val="26CA6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866192"/>
    <w:multiLevelType w:val="hybridMultilevel"/>
    <w:tmpl w:val="B61A8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AF518B5"/>
    <w:multiLevelType w:val="hybridMultilevel"/>
    <w:tmpl w:val="014E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B0D247E"/>
    <w:multiLevelType w:val="hybridMultilevel"/>
    <w:tmpl w:val="5FF6E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C503DA"/>
    <w:multiLevelType w:val="hybridMultilevel"/>
    <w:tmpl w:val="5BD8CC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DA23372"/>
    <w:multiLevelType w:val="hybridMultilevel"/>
    <w:tmpl w:val="A69642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E3C3DA4"/>
    <w:multiLevelType w:val="hybridMultilevel"/>
    <w:tmpl w:val="E3D877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09F6486"/>
    <w:multiLevelType w:val="hybridMultilevel"/>
    <w:tmpl w:val="45145C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452F580B"/>
    <w:multiLevelType w:val="hybridMultilevel"/>
    <w:tmpl w:val="DA687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6D35615"/>
    <w:multiLevelType w:val="hybridMultilevel"/>
    <w:tmpl w:val="4C6062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47C344CE"/>
    <w:multiLevelType w:val="hybridMultilevel"/>
    <w:tmpl w:val="BE5E9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8D734E0"/>
    <w:multiLevelType w:val="hybridMultilevel"/>
    <w:tmpl w:val="F162FA7E"/>
    <w:lvl w:ilvl="0" w:tplc="1026EB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B234876"/>
    <w:multiLevelType w:val="hybridMultilevel"/>
    <w:tmpl w:val="3C363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D3A79FA"/>
    <w:multiLevelType w:val="hybridMultilevel"/>
    <w:tmpl w:val="248ED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D8E7847"/>
    <w:multiLevelType w:val="hybridMultilevel"/>
    <w:tmpl w:val="2ABE2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E8B691F"/>
    <w:multiLevelType w:val="hybridMultilevel"/>
    <w:tmpl w:val="4BD808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4F0C4BC2"/>
    <w:multiLevelType w:val="hybridMultilevel"/>
    <w:tmpl w:val="1B0AB50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9" w15:restartNumberingAfterBreak="0">
    <w:nsid w:val="524B4D3D"/>
    <w:multiLevelType w:val="hybridMultilevel"/>
    <w:tmpl w:val="B994F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26E05EA"/>
    <w:multiLevelType w:val="hybridMultilevel"/>
    <w:tmpl w:val="32EE5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4C375D2"/>
    <w:multiLevelType w:val="hybridMultilevel"/>
    <w:tmpl w:val="9042D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006FF6"/>
    <w:multiLevelType w:val="hybridMultilevel"/>
    <w:tmpl w:val="FA182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88F3AC6"/>
    <w:multiLevelType w:val="hybridMultilevel"/>
    <w:tmpl w:val="1BBE9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A1D4EFE"/>
    <w:multiLevelType w:val="hybridMultilevel"/>
    <w:tmpl w:val="7988B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A8C0769"/>
    <w:multiLevelType w:val="hybridMultilevel"/>
    <w:tmpl w:val="124C6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AB76184"/>
    <w:multiLevelType w:val="hybridMultilevel"/>
    <w:tmpl w:val="98DA6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0B70BF0"/>
    <w:multiLevelType w:val="hybridMultilevel"/>
    <w:tmpl w:val="4AEC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1A41193"/>
    <w:multiLevelType w:val="hybridMultilevel"/>
    <w:tmpl w:val="CEF4F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1D57BE1"/>
    <w:multiLevelType w:val="hybridMultilevel"/>
    <w:tmpl w:val="57689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2A77F5F"/>
    <w:multiLevelType w:val="hybridMultilevel"/>
    <w:tmpl w:val="8C146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2BE6B7A"/>
    <w:multiLevelType w:val="hybridMultilevel"/>
    <w:tmpl w:val="A2C0440A"/>
    <w:lvl w:ilvl="0" w:tplc="1026EB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6A63A52"/>
    <w:multiLevelType w:val="hybridMultilevel"/>
    <w:tmpl w:val="3FC28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7BB2BDE"/>
    <w:multiLevelType w:val="hybridMultilevel"/>
    <w:tmpl w:val="3D58B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8C76798"/>
    <w:multiLevelType w:val="hybridMultilevel"/>
    <w:tmpl w:val="F814C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C6F3A85"/>
    <w:multiLevelType w:val="hybridMultilevel"/>
    <w:tmpl w:val="9F76D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F6E1FD1"/>
    <w:multiLevelType w:val="hybridMultilevel"/>
    <w:tmpl w:val="AB406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6F8212F8"/>
    <w:multiLevelType w:val="hybridMultilevel"/>
    <w:tmpl w:val="B1323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3DD3FC7"/>
    <w:multiLevelType w:val="hybridMultilevel"/>
    <w:tmpl w:val="EE46A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5C961CA"/>
    <w:multiLevelType w:val="hybridMultilevel"/>
    <w:tmpl w:val="565EBE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79DE7FEE"/>
    <w:multiLevelType w:val="hybridMultilevel"/>
    <w:tmpl w:val="22DEF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9F61C5D"/>
    <w:multiLevelType w:val="hybridMultilevel"/>
    <w:tmpl w:val="9F4A8688"/>
    <w:lvl w:ilvl="0" w:tplc="ABE84DA8">
      <w:start w:val="1"/>
      <w:numFmt w:val="bullet"/>
      <w:pStyle w:val="ListBullet"/>
      <w:lvlText w:val=""/>
      <w:lvlJc w:val="left"/>
      <w:pPr>
        <w:tabs>
          <w:tab w:val="num" w:pos="936"/>
        </w:tabs>
        <w:ind w:left="936"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7DA462B0"/>
    <w:multiLevelType w:val="hybridMultilevel"/>
    <w:tmpl w:val="997808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6019864">
    <w:abstractNumId w:val="5"/>
  </w:num>
  <w:num w:numId="2" w16cid:durableId="1012148860">
    <w:abstractNumId w:val="71"/>
  </w:num>
  <w:num w:numId="3" w16cid:durableId="770853270">
    <w:abstractNumId w:val="42"/>
  </w:num>
  <w:num w:numId="4" w16cid:durableId="822892700">
    <w:abstractNumId w:val="10"/>
  </w:num>
  <w:num w:numId="5" w16cid:durableId="757559179">
    <w:abstractNumId w:val="1"/>
  </w:num>
  <w:num w:numId="6" w16cid:durableId="1718427604">
    <w:abstractNumId w:val="47"/>
  </w:num>
  <w:num w:numId="7" w16cid:durableId="1510367309">
    <w:abstractNumId w:val="28"/>
  </w:num>
  <w:num w:numId="8" w16cid:durableId="1884827956">
    <w:abstractNumId w:val="44"/>
  </w:num>
  <w:num w:numId="9" w16cid:durableId="1695376371">
    <w:abstractNumId w:val="34"/>
  </w:num>
  <w:num w:numId="10" w16cid:durableId="647395954">
    <w:abstractNumId w:val="33"/>
  </w:num>
  <w:num w:numId="11" w16cid:durableId="1267616066">
    <w:abstractNumId w:val="27"/>
  </w:num>
  <w:num w:numId="12" w16cid:durableId="681249871">
    <w:abstractNumId w:val="63"/>
  </w:num>
  <w:num w:numId="13" w16cid:durableId="168642021">
    <w:abstractNumId w:val="22"/>
  </w:num>
  <w:num w:numId="14" w16cid:durableId="828328189">
    <w:abstractNumId w:val="55"/>
  </w:num>
  <w:num w:numId="15" w16cid:durableId="2103840248">
    <w:abstractNumId w:val="7"/>
  </w:num>
  <w:num w:numId="16" w16cid:durableId="1225482942">
    <w:abstractNumId w:val="64"/>
  </w:num>
  <w:num w:numId="17" w16cid:durableId="1485780850">
    <w:abstractNumId w:val="41"/>
  </w:num>
  <w:num w:numId="18" w16cid:durableId="780686531">
    <w:abstractNumId w:val="2"/>
  </w:num>
  <w:num w:numId="19" w16cid:durableId="627664283">
    <w:abstractNumId w:val="29"/>
  </w:num>
  <w:num w:numId="20" w16cid:durableId="1079256719">
    <w:abstractNumId w:val="4"/>
  </w:num>
  <w:num w:numId="21" w16cid:durableId="2071267949">
    <w:abstractNumId w:val="12"/>
  </w:num>
  <w:num w:numId="22" w16cid:durableId="221059389">
    <w:abstractNumId w:val="69"/>
  </w:num>
  <w:num w:numId="23" w16cid:durableId="581528396">
    <w:abstractNumId w:val="11"/>
  </w:num>
  <w:num w:numId="24" w16cid:durableId="451556728">
    <w:abstractNumId w:val="66"/>
  </w:num>
  <w:num w:numId="25" w16cid:durableId="552428628">
    <w:abstractNumId w:val="36"/>
  </w:num>
  <w:num w:numId="26" w16cid:durableId="1576356301">
    <w:abstractNumId w:val="72"/>
  </w:num>
  <w:num w:numId="27" w16cid:durableId="2047757674">
    <w:abstractNumId w:val="26"/>
  </w:num>
  <w:num w:numId="28" w16cid:durableId="716392570">
    <w:abstractNumId w:val="39"/>
  </w:num>
  <w:num w:numId="29" w16cid:durableId="1800150625">
    <w:abstractNumId w:val="14"/>
  </w:num>
  <w:num w:numId="30" w16cid:durableId="1595672107">
    <w:abstractNumId w:val="58"/>
  </w:num>
  <w:num w:numId="31" w16cid:durableId="1429740317">
    <w:abstractNumId w:val="49"/>
  </w:num>
  <w:num w:numId="32" w16cid:durableId="228852982">
    <w:abstractNumId w:val="68"/>
  </w:num>
  <w:num w:numId="33" w16cid:durableId="604385536">
    <w:abstractNumId w:val="3"/>
  </w:num>
  <w:num w:numId="34" w16cid:durableId="206186126">
    <w:abstractNumId w:val="45"/>
  </w:num>
  <w:num w:numId="35" w16cid:durableId="1722946044">
    <w:abstractNumId w:val="30"/>
  </w:num>
  <w:num w:numId="36" w16cid:durableId="151721415">
    <w:abstractNumId w:val="23"/>
  </w:num>
  <w:num w:numId="37" w16cid:durableId="738093105">
    <w:abstractNumId w:val="57"/>
  </w:num>
  <w:num w:numId="38" w16cid:durableId="786894652">
    <w:abstractNumId w:val="13"/>
  </w:num>
  <w:num w:numId="39" w16cid:durableId="414209508">
    <w:abstractNumId w:val="51"/>
  </w:num>
  <w:num w:numId="40" w16cid:durableId="1508979809">
    <w:abstractNumId w:val="24"/>
  </w:num>
  <w:num w:numId="41" w16cid:durableId="31737083">
    <w:abstractNumId w:val="43"/>
  </w:num>
  <w:num w:numId="42" w16cid:durableId="457452459">
    <w:abstractNumId w:val="70"/>
  </w:num>
  <w:num w:numId="43" w16cid:durableId="1247155041">
    <w:abstractNumId w:val="17"/>
  </w:num>
  <w:num w:numId="44" w16cid:durableId="1539900410">
    <w:abstractNumId w:val="35"/>
  </w:num>
  <w:num w:numId="45" w16cid:durableId="1357928764">
    <w:abstractNumId w:val="6"/>
  </w:num>
  <w:num w:numId="46" w16cid:durableId="1902402794">
    <w:abstractNumId w:val="53"/>
  </w:num>
  <w:num w:numId="47" w16cid:durableId="1502701200">
    <w:abstractNumId w:val="60"/>
  </w:num>
  <w:num w:numId="48" w16cid:durableId="2060546503">
    <w:abstractNumId w:val="18"/>
  </w:num>
  <w:num w:numId="49" w16cid:durableId="280890309">
    <w:abstractNumId w:val="40"/>
  </w:num>
  <w:num w:numId="50" w16cid:durableId="1892181514">
    <w:abstractNumId w:val="50"/>
  </w:num>
  <w:num w:numId="51" w16cid:durableId="634523683">
    <w:abstractNumId w:val="46"/>
  </w:num>
  <w:num w:numId="52" w16cid:durableId="207499439">
    <w:abstractNumId w:val="54"/>
  </w:num>
  <w:num w:numId="53" w16cid:durableId="1618755527">
    <w:abstractNumId w:val="67"/>
  </w:num>
  <w:num w:numId="54" w16cid:durableId="1162887254">
    <w:abstractNumId w:val="59"/>
  </w:num>
  <w:num w:numId="55" w16cid:durableId="1986156992">
    <w:abstractNumId w:val="56"/>
  </w:num>
  <w:num w:numId="56" w16cid:durableId="13461224">
    <w:abstractNumId w:val="19"/>
  </w:num>
  <w:num w:numId="57" w16cid:durableId="1038312191">
    <w:abstractNumId w:val="15"/>
  </w:num>
  <w:num w:numId="58" w16cid:durableId="1519154032">
    <w:abstractNumId w:val="62"/>
  </w:num>
  <w:num w:numId="59" w16cid:durableId="1556502554">
    <w:abstractNumId w:val="31"/>
  </w:num>
  <w:num w:numId="60" w16cid:durableId="1565143038">
    <w:abstractNumId w:val="61"/>
  </w:num>
  <w:num w:numId="61" w16cid:durableId="2067559959">
    <w:abstractNumId w:val="8"/>
  </w:num>
  <w:num w:numId="62" w16cid:durableId="1621451395">
    <w:abstractNumId w:val="9"/>
  </w:num>
  <w:num w:numId="63" w16cid:durableId="720403029">
    <w:abstractNumId w:val="48"/>
  </w:num>
  <w:num w:numId="64" w16cid:durableId="1941525649">
    <w:abstractNumId w:val="20"/>
  </w:num>
  <w:num w:numId="65" w16cid:durableId="1292058971">
    <w:abstractNumId w:val="16"/>
  </w:num>
  <w:num w:numId="66" w16cid:durableId="1588272855">
    <w:abstractNumId w:val="0"/>
  </w:num>
  <w:num w:numId="67" w16cid:durableId="2074158558">
    <w:abstractNumId w:val="65"/>
  </w:num>
  <w:num w:numId="68" w16cid:durableId="1576893202">
    <w:abstractNumId w:val="21"/>
  </w:num>
  <w:num w:numId="69" w16cid:durableId="2050258786">
    <w:abstractNumId w:val="38"/>
  </w:num>
  <w:num w:numId="70" w16cid:durableId="1046178120">
    <w:abstractNumId w:val="32"/>
  </w:num>
  <w:num w:numId="71" w16cid:durableId="591134803">
    <w:abstractNumId w:val="25"/>
  </w:num>
  <w:num w:numId="72" w16cid:durableId="1689326801">
    <w:abstractNumId w:val="52"/>
  </w:num>
  <w:num w:numId="73" w16cid:durableId="1314604508">
    <w:abstractNumId w:val="3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B89"/>
    <w:rsid w:val="0000267F"/>
    <w:rsid w:val="00003A99"/>
    <w:rsid w:val="00005683"/>
    <w:rsid w:val="00005E97"/>
    <w:rsid w:val="00005FE9"/>
    <w:rsid w:val="0000795A"/>
    <w:rsid w:val="0001078A"/>
    <w:rsid w:val="000109D4"/>
    <w:rsid w:val="00012E19"/>
    <w:rsid w:val="00013B56"/>
    <w:rsid w:val="000165DD"/>
    <w:rsid w:val="000210E2"/>
    <w:rsid w:val="0002407D"/>
    <w:rsid w:val="000250DB"/>
    <w:rsid w:val="00025693"/>
    <w:rsid w:val="00030207"/>
    <w:rsid w:val="0003024B"/>
    <w:rsid w:val="00030504"/>
    <w:rsid w:val="000308CC"/>
    <w:rsid w:val="00030BDA"/>
    <w:rsid w:val="00032756"/>
    <w:rsid w:val="00032C04"/>
    <w:rsid w:val="000336EF"/>
    <w:rsid w:val="00033D13"/>
    <w:rsid w:val="00033F18"/>
    <w:rsid w:val="0003400B"/>
    <w:rsid w:val="00034055"/>
    <w:rsid w:val="00035DC2"/>
    <w:rsid w:val="000400B2"/>
    <w:rsid w:val="00040DA7"/>
    <w:rsid w:val="00041739"/>
    <w:rsid w:val="00042070"/>
    <w:rsid w:val="00042374"/>
    <w:rsid w:val="00042BD1"/>
    <w:rsid w:val="00042DDB"/>
    <w:rsid w:val="00042DFC"/>
    <w:rsid w:val="0004311C"/>
    <w:rsid w:val="0004359E"/>
    <w:rsid w:val="00044421"/>
    <w:rsid w:val="000459C7"/>
    <w:rsid w:val="00045BBD"/>
    <w:rsid w:val="00045DDB"/>
    <w:rsid w:val="000464AF"/>
    <w:rsid w:val="000504FA"/>
    <w:rsid w:val="00050F6F"/>
    <w:rsid w:val="00051271"/>
    <w:rsid w:val="0005188D"/>
    <w:rsid w:val="00051F14"/>
    <w:rsid w:val="000530BC"/>
    <w:rsid w:val="00054A15"/>
    <w:rsid w:val="000559AC"/>
    <w:rsid w:val="00055AB3"/>
    <w:rsid w:val="00056EA3"/>
    <w:rsid w:val="00056F9E"/>
    <w:rsid w:val="000573F6"/>
    <w:rsid w:val="00057B69"/>
    <w:rsid w:val="00057E2A"/>
    <w:rsid w:val="0006063E"/>
    <w:rsid w:val="00060E62"/>
    <w:rsid w:val="000621C0"/>
    <w:rsid w:val="0006230D"/>
    <w:rsid w:val="00062CCC"/>
    <w:rsid w:val="00063E1A"/>
    <w:rsid w:val="00064C2B"/>
    <w:rsid w:val="0006602E"/>
    <w:rsid w:val="0006616C"/>
    <w:rsid w:val="00067845"/>
    <w:rsid w:val="00071C07"/>
    <w:rsid w:val="00071C78"/>
    <w:rsid w:val="00072EB6"/>
    <w:rsid w:val="000731DD"/>
    <w:rsid w:val="000742B3"/>
    <w:rsid w:val="00074CD2"/>
    <w:rsid w:val="00075DFA"/>
    <w:rsid w:val="00077CAC"/>
    <w:rsid w:val="00080241"/>
    <w:rsid w:val="00080657"/>
    <w:rsid w:val="00080B04"/>
    <w:rsid w:val="00080C33"/>
    <w:rsid w:val="00082B89"/>
    <w:rsid w:val="000837B4"/>
    <w:rsid w:val="00083C3F"/>
    <w:rsid w:val="00084C9A"/>
    <w:rsid w:val="00085E22"/>
    <w:rsid w:val="0008731C"/>
    <w:rsid w:val="0008755F"/>
    <w:rsid w:val="0008778A"/>
    <w:rsid w:val="0009012F"/>
    <w:rsid w:val="00090D53"/>
    <w:rsid w:val="00090DF2"/>
    <w:rsid w:val="000917F2"/>
    <w:rsid w:val="00091CBF"/>
    <w:rsid w:val="00092052"/>
    <w:rsid w:val="000925C0"/>
    <w:rsid w:val="00092EDF"/>
    <w:rsid w:val="00093938"/>
    <w:rsid w:val="00093E26"/>
    <w:rsid w:val="00094538"/>
    <w:rsid w:val="00094718"/>
    <w:rsid w:val="0009603B"/>
    <w:rsid w:val="000960F3"/>
    <w:rsid w:val="00096512"/>
    <w:rsid w:val="0009699C"/>
    <w:rsid w:val="00096BF2"/>
    <w:rsid w:val="000976B5"/>
    <w:rsid w:val="00097D58"/>
    <w:rsid w:val="000A0DD5"/>
    <w:rsid w:val="000A2546"/>
    <w:rsid w:val="000A26D3"/>
    <w:rsid w:val="000A32D3"/>
    <w:rsid w:val="000A494E"/>
    <w:rsid w:val="000A51C8"/>
    <w:rsid w:val="000A5812"/>
    <w:rsid w:val="000A59FD"/>
    <w:rsid w:val="000A5D0E"/>
    <w:rsid w:val="000A6018"/>
    <w:rsid w:val="000A62B3"/>
    <w:rsid w:val="000A66E3"/>
    <w:rsid w:val="000A76FF"/>
    <w:rsid w:val="000B0211"/>
    <w:rsid w:val="000B1676"/>
    <w:rsid w:val="000B1F89"/>
    <w:rsid w:val="000B206B"/>
    <w:rsid w:val="000B384C"/>
    <w:rsid w:val="000B39E7"/>
    <w:rsid w:val="000B4052"/>
    <w:rsid w:val="000B44F9"/>
    <w:rsid w:val="000B5750"/>
    <w:rsid w:val="000B5CB3"/>
    <w:rsid w:val="000B7F36"/>
    <w:rsid w:val="000C4047"/>
    <w:rsid w:val="000C49ED"/>
    <w:rsid w:val="000C4B98"/>
    <w:rsid w:val="000C500C"/>
    <w:rsid w:val="000C5502"/>
    <w:rsid w:val="000C62E4"/>
    <w:rsid w:val="000C6C6F"/>
    <w:rsid w:val="000C704E"/>
    <w:rsid w:val="000C76BE"/>
    <w:rsid w:val="000C798F"/>
    <w:rsid w:val="000D04D6"/>
    <w:rsid w:val="000D0F2F"/>
    <w:rsid w:val="000D1D82"/>
    <w:rsid w:val="000D298B"/>
    <w:rsid w:val="000D30A2"/>
    <w:rsid w:val="000D3E9B"/>
    <w:rsid w:val="000D3FE9"/>
    <w:rsid w:val="000D452C"/>
    <w:rsid w:val="000D46AF"/>
    <w:rsid w:val="000D5DBC"/>
    <w:rsid w:val="000D672B"/>
    <w:rsid w:val="000D6ABA"/>
    <w:rsid w:val="000D7FF5"/>
    <w:rsid w:val="000E094B"/>
    <w:rsid w:val="000E0A8D"/>
    <w:rsid w:val="000E0C27"/>
    <w:rsid w:val="000E1FFE"/>
    <w:rsid w:val="000E21E6"/>
    <w:rsid w:val="000E2E8A"/>
    <w:rsid w:val="000E3240"/>
    <w:rsid w:val="000E32AC"/>
    <w:rsid w:val="000E491E"/>
    <w:rsid w:val="000E4F9F"/>
    <w:rsid w:val="000E6198"/>
    <w:rsid w:val="000E63BD"/>
    <w:rsid w:val="000E6E8C"/>
    <w:rsid w:val="000E71C5"/>
    <w:rsid w:val="000F0556"/>
    <w:rsid w:val="000F06DB"/>
    <w:rsid w:val="000F0A1C"/>
    <w:rsid w:val="000F0D72"/>
    <w:rsid w:val="000F17F2"/>
    <w:rsid w:val="000F1CB2"/>
    <w:rsid w:val="000F2603"/>
    <w:rsid w:val="000F27C1"/>
    <w:rsid w:val="000F2C29"/>
    <w:rsid w:val="000F2D1A"/>
    <w:rsid w:val="000F3AFB"/>
    <w:rsid w:val="000F4D9D"/>
    <w:rsid w:val="000F67DE"/>
    <w:rsid w:val="000F6D2F"/>
    <w:rsid w:val="000F71AC"/>
    <w:rsid w:val="000F7B29"/>
    <w:rsid w:val="000F7CBD"/>
    <w:rsid w:val="0010032A"/>
    <w:rsid w:val="00101019"/>
    <w:rsid w:val="001014EA"/>
    <w:rsid w:val="00101630"/>
    <w:rsid w:val="001028F4"/>
    <w:rsid w:val="00103470"/>
    <w:rsid w:val="00103AA2"/>
    <w:rsid w:val="00104109"/>
    <w:rsid w:val="00104263"/>
    <w:rsid w:val="00105182"/>
    <w:rsid w:val="0010551A"/>
    <w:rsid w:val="00105C7A"/>
    <w:rsid w:val="00105E83"/>
    <w:rsid w:val="00105EAD"/>
    <w:rsid w:val="00106D7A"/>
    <w:rsid w:val="00106E13"/>
    <w:rsid w:val="0010772B"/>
    <w:rsid w:val="00107B79"/>
    <w:rsid w:val="00110375"/>
    <w:rsid w:val="00111338"/>
    <w:rsid w:val="001115EB"/>
    <w:rsid w:val="0011241F"/>
    <w:rsid w:val="001127AC"/>
    <w:rsid w:val="00113EEE"/>
    <w:rsid w:val="00114074"/>
    <w:rsid w:val="00115D80"/>
    <w:rsid w:val="0011733D"/>
    <w:rsid w:val="00117655"/>
    <w:rsid w:val="001203F1"/>
    <w:rsid w:val="001205DE"/>
    <w:rsid w:val="00120895"/>
    <w:rsid w:val="001211E0"/>
    <w:rsid w:val="00123879"/>
    <w:rsid w:val="00123F1C"/>
    <w:rsid w:val="00124027"/>
    <w:rsid w:val="001243CC"/>
    <w:rsid w:val="00127C63"/>
    <w:rsid w:val="00131493"/>
    <w:rsid w:val="0013153F"/>
    <w:rsid w:val="001319E3"/>
    <w:rsid w:val="001333FC"/>
    <w:rsid w:val="00134A76"/>
    <w:rsid w:val="001350B7"/>
    <w:rsid w:val="00135343"/>
    <w:rsid w:val="00135BF5"/>
    <w:rsid w:val="00136039"/>
    <w:rsid w:val="00136677"/>
    <w:rsid w:val="001379ED"/>
    <w:rsid w:val="00137B77"/>
    <w:rsid w:val="00137BEB"/>
    <w:rsid w:val="00137E43"/>
    <w:rsid w:val="00140657"/>
    <w:rsid w:val="00140C71"/>
    <w:rsid w:val="0014101F"/>
    <w:rsid w:val="00141246"/>
    <w:rsid w:val="00143370"/>
    <w:rsid w:val="001442F3"/>
    <w:rsid w:val="00144FCC"/>
    <w:rsid w:val="001450EB"/>
    <w:rsid w:val="001463D4"/>
    <w:rsid w:val="001466B8"/>
    <w:rsid w:val="0014687E"/>
    <w:rsid w:val="00146889"/>
    <w:rsid w:val="00147AB5"/>
    <w:rsid w:val="00147F38"/>
    <w:rsid w:val="0015060C"/>
    <w:rsid w:val="00150834"/>
    <w:rsid w:val="00151867"/>
    <w:rsid w:val="0015200A"/>
    <w:rsid w:val="001525FE"/>
    <w:rsid w:val="00152796"/>
    <w:rsid w:val="00152CF7"/>
    <w:rsid w:val="00153287"/>
    <w:rsid w:val="00154420"/>
    <w:rsid w:val="001554E9"/>
    <w:rsid w:val="00155C38"/>
    <w:rsid w:val="0015681F"/>
    <w:rsid w:val="001575DC"/>
    <w:rsid w:val="001604A0"/>
    <w:rsid w:val="001606FA"/>
    <w:rsid w:val="0016279E"/>
    <w:rsid w:val="00162808"/>
    <w:rsid w:val="00162EA6"/>
    <w:rsid w:val="001630D2"/>
    <w:rsid w:val="00163653"/>
    <w:rsid w:val="00163BC3"/>
    <w:rsid w:val="001648FE"/>
    <w:rsid w:val="00164AED"/>
    <w:rsid w:val="001650C7"/>
    <w:rsid w:val="001653D0"/>
    <w:rsid w:val="001654A6"/>
    <w:rsid w:val="0016554B"/>
    <w:rsid w:val="00167D7F"/>
    <w:rsid w:val="00172292"/>
    <w:rsid w:val="001722A0"/>
    <w:rsid w:val="001735A4"/>
    <w:rsid w:val="001745A3"/>
    <w:rsid w:val="00174BCD"/>
    <w:rsid w:val="00175DB6"/>
    <w:rsid w:val="00176511"/>
    <w:rsid w:val="00177037"/>
    <w:rsid w:val="00177910"/>
    <w:rsid w:val="00177921"/>
    <w:rsid w:val="001806AE"/>
    <w:rsid w:val="0018078C"/>
    <w:rsid w:val="00181290"/>
    <w:rsid w:val="00183396"/>
    <w:rsid w:val="0018345C"/>
    <w:rsid w:val="0018397F"/>
    <w:rsid w:val="0018441E"/>
    <w:rsid w:val="00184633"/>
    <w:rsid w:val="0018468F"/>
    <w:rsid w:val="00184C05"/>
    <w:rsid w:val="00185716"/>
    <w:rsid w:val="0018634D"/>
    <w:rsid w:val="0018666B"/>
    <w:rsid w:val="001867D4"/>
    <w:rsid w:val="00186F07"/>
    <w:rsid w:val="001901A0"/>
    <w:rsid w:val="00190428"/>
    <w:rsid w:val="00191063"/>
    <w:rsid w:val="001912B6"/>
    <w:rsid w:val="0019166E"/>
    <w:rsid w:val="001923B5"/>
    <w:rsid w:val="00194378"/>
    <w:rsid w:val="001944B3"/>
    <w:rsid w:val="001945F8"/>
    <w:rsid w:val="00194C51"/>
    <w:rsid w:val="001951E3"/>
    <w:rsid w:val="00196162"/>
    <w:rsid w:val="00196ADF"/>
    <w:rsid w:val="0019753A"/>
    <w:rsid w:val="00197964"/>
    <w:rsid w:val="00197A9F"/>
    <w:rsid w:val="001A25CC"/>
    <w:rsid w:val="001A2E10"/>
    <w:rsid w:val="001A35F8"/>
    <w:rsid w:val="001A4645"/>
    <w:rsid w:val="001A48D0"/>
    <w:rsid w:val="001A4F06"/>
    <w:rsid w:val="001A5231"/>
    <w:rsid w:val="001A5D0A"/>
    <w:rsid w:val="001A5E93"/>
    <w:rsid w:val="001A6A8B"/>
    <w:rsid w:val="001A74F4"/>
    <w:rsid w:val="001B065A"/>
    <w:rsid w:val="001B0902"/>
    <w:rsid w:val="001B0C0A"/>
    <w:rsid w:val="001B1AD2"/>
    <w:rsid w:val="001B1BCE"/>
    <w:rsid w:val="001B221C"/>
    <w:rsid w:val="001B489E"/>
    <w:rsid w:val="001B4EC0"/>
    <w:rsid w:val="001B677C"/>
    <w:rsid w:val="001B7376"/>
    <w:rsid w:val="001B748B"/>
    <w:rsid w:val="001B7755"/>
    <w:rsid w:val="001B7E3E"/>
    <w:rsid w:val="001C032E"/>
    <w:rsid w:val="001C1ED6"/>
    <w:rsid w:val="001C25E3"/>
    <w:rsid w:val="001C27CE"/>
    <w:rsid w:val="001C2F43"/>
    <w:rsid w:val="001C3623"/>
    <w:rsid w:val="001C6192"/>
    <w:rsid w:val="001C7137"/>
    <w:rsid w:val="001C788B"/>
    <w:rsid w:val="001D0009"/>
    <w:rsid w:val="001D1BC1"/>
    <w:rsid w:val="001D214B"/>
    <w:rsid w:val="001D2B5E"/>
    <w:rsid w:val="001D3701"/>
    <w:rsid w:val="001D40B4"/>
    <w:rsid w:val="001D42F7"/>
    <w:rsid w:val="001D536D"/>
    <w:rsid w:val="001D57DC"/>
    <w:rsid w:val="001D58E0"/>
    <w:rsid w:val="001E0365"/>
    <w:rsid w:val="001E0631"/>
    <w:rsid w:val="001E13F6"/>
    <w:rsid w:val="001E1A50"/>
    <w:rsid w:val="001E1CA3"/>
    <w:rsid w:val="001E28E2"/>
    <w:rsid w:val="001E54E3"/>
    <w:rsid w:val="001E5500"/>
    <w:rsid w:val="001E610B"/>
    <w:rsid w:val="001E6C62"/>
    <w:rsid w:val="001E7B1F"/>
    <w:rsid w:val="001F03AB"/>
    <w:rsid w:val="001F0743"/>
    <w:rsid w:val="001F12BE"/>
    <w:rsid w:val="001F2436"/>
    <w:rsid w:val="001F2FC8"/>
    <w:rsid w:val="001F38B2"/>
    <w:rsid w:val="001F45D0"/>
    <w:rsid w:val="001F4F13"/>
    <w:rsid w:val="001F5C34"/>
    <w:rsid w:val="00200326"/>
    <w:rsid w:val="00200878"/>
    <w:rsid w:val="00200C71"/>
    <w:rsid w:val="00201CEC"/>
    <w:rsid w:val="00202A94"/>
    <w:rsid w:val="00203347"/>
    <w:rsid w:val="00203CB6"/>
    <w:rsid w:val="002052DD"/>
    <w:rsid w:val="00206ED1"/>
    <w:rsid w:val="00207BE0"/>
    <w:rsid w:val="00210BAB"/>
    <w:rsid w:val="00210BAD"/>
    <w:rsid w:val="00212032"/>
    <w:rsid w:val="002126D7"/>
    <w:rsid w:val="0021384A"/>
    <w:rsid w:val="00213DCD"/>
    <w:rsid w:val="00214642"/>
    <w:rsid w:val="00215E11"/>
    <w:rsid w:val="00216CF4"/>
    <w:rsid w:val="00216E69"/>
    <w:rsid w:val="00217183"/>
    <w:rsid w:val="0022120A"/>
    <w:rsid w:val="00221952"/>
    <w:rsid w:val="00221A80"/>
    <w:rsid w:val="00221C3F"/>
    <w:rsid w:val="00221CD7"/>
    <w:rsid w:val="00222236"/>
    <w:rsid w:val="00223E6B"/>
    <w:rsid w:val="00224C70"/>
    <w:rsid w:val="00225272"/>
    <w:rsid w:val="00225628"/>
    <w:rsid w:val="00225958"/>
    <w:rsid w:val="00226807"/>
    <w:rsid w:val="0022690B"/>
    <w:rsid w:val="0022713D"/>
    <w:rsid w:val="002273A9"/>
    <w:rsid w:val="00227DF5"/>
    <w:rsid w:val="002304D7"/>
    <w:rsid w:val="00230AB6"/>
    <w:rsid w:val="002314F8"/>
    <w:rsid w:val="002326D9"/>
    <w:rsid w:val="00233E29"/>
    <w:rsid w:val="002348CA"/>
    <w:rsid w:val="00234977"/>
    <w:rsid w:val="00234ECA"/>
    <w:rsid w:val="00234F27"/>
    <w:rsid w:val="002352FA"/>
    <w:rsid w:val="002356E7"/>
    <w:rsid w:val="00235A67"/>
    <w:rsid w:val="00235C73"/>
    <w:rsid w:val="0023615A"/>
    <w:rsid w:val="00236EEE"/>
    <w:rsid w:val="00237B69"/>
    <w:rsid w:val="00237F99"/>
    <w:rsid w:val="0024063B"/>
    <w:rsid w:val="00240A98"/>
    <w:rsid w:val="00240B4A"/>
    <w:rsid w:val="00242494"/>
    <w:rsid w:val="002426DA"/>
    <w:rsid w:val="0024436C"/>
    <w:rsid w:val="002453DF"/>
    <w:rsid w:val="00252357"/>
    <w:rsid w:val="00252600"/>
    <w:rsid w:val="00253286"/>
    <w:rsid w:val="00254932"/>
    <w:rsid w:val="00255BE0"/>
    <w:rsid w:val="00256355"/>
    <w:rsid w:val="00257BF2"/>
    <w:rsid w:val="0026078D"/>
    <w:rsid w:val="00260C39"/>
    <w:rsid w:val="00262062"/>
    <w:rsid w:val="00262AF9"/>
    <w:rsid w:val="0026430C"/>
    <w:rsid w:val="0026494C"/>
    <w:rsid w:val="00265073"/>
    <w:rsid w:val="00265191"/>
    <w:rsid w:val="00265D70"/>
    <w:rsid w:val="00270252"/>
    <w:rsid w:val="002713DB"/>
    <w:rsid w:val="002716B8"/>
    <w:rsid w:val="0027198C"/>
    <w:rsid w:val="00271CF9"/>
    <w:rsid w:val="00272129"/>
    <w:rsid w:val="00272CC9"/>
    <w:rsid w:val="0027498A"/>
    <w:rsid w:val="00275B25"/>
    <w:rsid w:val="00275BB6"/>
    <w:rsid w:val="0027688B"/>
    <w:rsid w:val="00276B77"/>
    <w:rsid w:val="00277548"/>
    <w:rsid w:val="00280197"/>
    <w:rsid w:val="002820AF"/>
    <w:rsid w:val="0028270D"/>
    <w:rsid w:val="0028462B"/>
    <w:rsid w:val="00284B5F"/>
    <w:rsid w:val="00285C07"/>
    <w:rsid w:val="002866B0"/>
    <w:rsid w:val="00286E3D"/>
    <w:rsid w:val="00291ED4"/>
    <w:rsid w:val="002925F4"/>
    <w:rsid w:val="00292C4C"/>
    <w:rsid w:val="00292EB0"/>
    <w:rsid w:val="00293C54"/>
    <w:rsid w:val="002945DC"/>
    <w:rsid w:val="00294A44"/>
    <w:rsid w:val="00295F2F"/>
    <w:rsid w:val="00296065"/>
    <w:rsid w:val="002967A5"/>
    <w:rsid w:val="00296862"/>
    <w:rsid w:val="00297655"/>
    <w:rsid w:val="002A05E7"/>
    <w:rsid w:val="002A0E3E"/>
    <w:rsid w:val="002A11BC"/>
    <w:rsid w:val="002A14A3"/>
    <w:rsid w:val="002A18C3"/>
    <w:rsid w:val="002A3FAA"/>
    <w:rsid w:val="002A447B"/>
    <w:rsid w:val="002A4780"/>
    <w:rsid w:val="002A4AB4"/>
    <w:rsid w:val="002A4DB8"/>
    <w:rsid w:val="002A5B9D"/>
    <w:rsid w:val="002A61F9"/>
    <w:rsid w:val="002A6A72"/>
    <w:rsid w:val="002A6C32"/>
    <w:rsid w:val="002B0D23"/>
    <w:rsid w:val="002B1700"/>
    <w:rsid w:val="002B18F9"/>
    <w:rsid w:val="002B1D22"/>
    <w:rsid w:val="002B258D"/>
    <w:rsid w:val="002B4978"/>
    <w:rsid w:val="002B4E83"/>
    <w:rsid w:val="002B607C"/>
    <w:rsid w:val="002B739B"/>
    <w:rsid w:val="002B7E25"/>
    <w:rsid w:val="002C0B8C"/>
    <w:rsid w:val="002C1BBD"/>
    <w:rsid w:val="002C238D"/>
    <w:rsid w:val="002C25EA"/>
    <w:rsid w:val="002C3333"/>
    <w:rsid w:val="002C3453"/>
    <w:rsid w:val="002C3C4E"/>
    <w:rsid w:val="002C3E15"/>
    <w:rsid w:val="002C43EF"/>
    <w:rsid w:val="002C4F72"/>
    <w:rsid w:val="002C53B6"/>
    <w:rsid w:val="002C5A79"/>
    <w:rsid w:val="002C656A"/>
    <w:rsid w:val="002C75D4"/>
    <w:rsid w:val="002D05AF"/>
    <w:rsid w:val="002D17E8"/>
    <w:rsid w:val="002D1FB6"/>
    <w:rsid w:val="002D22E0"/>
    <w:rsid w:val="002D265F"/>
    <w:rsid w:val="002D33C1"/>
    <w:rsid w:val="002D69F2"/>
    <w:rsid w:val="002D6E25"/>
    <w:rsid w:val="002E04A5"/>
    <w:rsid w:val="002E0634"/>
    <w:rsid w:val="002E2F4D"/>
    <w:rsid w:val="002E42B1"/>
    <w:rsid w:val="002E47B8"/>
    <w:rsid w:val="002E54E2"/>
    <w:rsid w:val="002E5C34"/>
    <w:rsid w:val="002E6168"/>
    <w:rsid w:val="002E64B8"/>
    <w:rsid w:val="002E65EF"/>
    <w:rsid w:val="002E6FD4"/>
    <w:rsid w:val="002F0A52"/>
    <w:rsid w:val="002F0B2D"/>
    <w:rsid w:val="002F1379"/>
    <w:rsid w:val="002F1A6A"/>
    <w:rsid w:val="002F24B5"/>
    <w:rsid w:val="002F30BF"/>
    <w:rsid w:val="002F42E7"/>
    <w:rsid w:val="002F47F4"/>
    <w:rsid w:val="002F5477"/>
    <w:rsid w:val="002F5B45"/>
    <w:rsid w:val="002F5EA8"/>
    <w:rsid w:val="002F72E8"/>
    <w:rsid w:val="003008EC"/>
    <w:rsid w:val="00300936"/>
    <w:rsid w:val="00300C30"/>
    <w:rsid w:val="00301734"/>
    <w:rsid w:val="00301B01"/>
    <w:rsid w:val="00302B0A"/>
    <w:rsid w:val="0030358F"/>
    <w:rsid w:val="003035E6"/>
    <w:rsid w:val="0030369D"/>
    <w:rsid w:val="00303B33"/>
    <w:rsid w:val="00304325"/>
    <w:rsid w:val="00305655"/>
    <w:rsid w:val="00305CFF"/>
    <w:rsid w:val="00306E18"/>
    <w:rsid w:val="0030770C"/>
    <w:rsid w:val="003105E3"/>
    <w:rsid w:val="003112E5"/>
    <w:rsid w:val="00313281"/>
    <w:rsid w:val="00313398"/>
    <w:rsid w:val="00313C2C"/>
    <w:rsid w:val="00314289"/>
    <w:rsid w:val="00314467"/>
    <w:rsid w:val="00314601"/>
    <w:rsid w:val="003177E4"/>
    <w:rsid w:val="00320170"/>
    <w:rsid w:val="003227A7"/>
    <w:rsid w:val="00323276"/>
    <w:rsid w:val="003232C9"/>
    <w:rsid w:val="00323D11"/>
    <w:rsid w:val="00324AF1"/>
    <w:rsid w:val="003261D4"/>
    <w:rsid w:val="003263BA"/>
    <w:rsid w:val="00326C5C"/>
    <w:rsid w:val="00326E01"/>
    <w:rsid w:val="00326F5A"/>
    <w:rsid w:val="003279DA"/>
    <w:rsid w:val="00330298"/>
    <w:rsid w:val="0033051A"/>
    <w:rsid w:val="003313F4"/>
    <w:rsid w:val="0033216D"/>
    <w:rsid w:val="003326E3"/>
    <w:rsid w:val="003333E0"/>
    <w:rsid w:val="00333A4D"/>
    <w:rsid w:val="00334558"/>
    <w:rsid w:val="0033496D"/>
    <w:rsid w:val="003358A5"/>
    <w:rsid w:val="00335C82"/>
    <w:rsid w:val="003400AC"/>
    <w:rsid w:val="0034094D"/>
    <w:rsid w:val="00340A71"/>
    <w:rsid w:val="00341F6D"/>
    <w:rsid w:val="00343A14"/>
    <w:rsid w:val="003449C5"/>
    <w:rsid w:val="00345403"/>
    <w:rsid w:val="0034563B"/>
    <w:rsid w:val="0034604A"/>
    <w:rsid w:val="00346661"/>
    <w:rsid w:val="0035021D"/>
    <w:rsid w:val="00351FF7"/>
    <w:rsid w:val="003521BE"/>
    <w:rsid w:val="00352255"/>
    <w:rsid w:val="00352BB0"/>
    <w:rsid w:val="00353B22"/>
    <w:rsid w:val="00353F4C"/>
    <w:rsid w:val="00354A8E"/>
    <w:rsid w:val="00354C59"/>
    <w:rsid w:val="00354D9D"/>
    <w:rsid w:val="00355150"/>
    <w:rsid w:val="00356392"/>
    <w:rsid w:val="00356495"/>
    <w:rsid w:val="00356560"/>
    <w:rsid w:val="003604FB"/>
    <w:rsid w:val="00360686"/>
    <w:rsid w:val="00361238"/>
    <w:rsid w:val="00363672"/>
    <w:rsid w:val="00363C45"/>
    <w:rsid w:val="00363F8D"/>
    <w:rsid w:val="00363FEA"/>
    <w:rsid w:val="00364AE7"/>
    <w:rsid w:val="00366A24"/>
    <w:rsid w:val="00366B91"/>
    <w:rsid w:val="00367444"/>
    <w:rsid w:val="00367802"/>
    <w:rsid w:val="00367A58"/>
    <w:rsid w:val="00367BC2"/>
    <w:rsid w:val="00370315"/>
    <w:rsid w:val="0037064C"/>
    <w:rsid w:val="00370773"/>
    <w:rsid w:val="00370FDD"/>
    <w:rsid w:val="0037181D"/>
    <w:rsid w:val="00372071"/>
    <w:rsid w:val="00372102"/>
    <w:rsid w:val="00374094"/>
    <w:rsid w:val="00374125"/>
    <w:rsid w:val="00375DF8"/>
    <w:rsid w:val="003762E0"/>
    <w:rsid w:val="00376688"/>
    <w:rsid w:val="0037672D"/>
    <w:rsid w:val="00376C12"/>
    <w:rsid w:val="00376C32"/>
    <w:rsid w:val="00376E22"/>
    <w:rsid w:val="003773F5"/>
    <w:rsid w:val="00380110"/>
    <w:rsid w:val="003801B2"/>
    <w:rsid w:val="00380359"/>
    <w:rsid w:val="00380E79"/>
    <w:rsid w:val="003810D9"/>
    <w:rsid w:val="00381102"/>
    <w:rsid w:val="0038220C"/>
    <w:rsid w:val="00384413"/>
    <w:rsid w:val="00384527"/>
    <w:rsid w:val="0038497E"/>
    <w:rsid w:val="00385178"/>
    <w:rsid w:val="0038522C"/>
    <w:rsid w:val="00385AC2"/>
    <w:rsid w:val="00386116"/>
    <w:rsid w:val="00387081"/>
    <w:rsid w:val="0038794F"/>
    <w:rsid w:val="00390A9D"/>
    <w:rsid w:val="003918CA"/>
    <w:rsid w:val="00391DFA"/>
    <w:rsid w:val="003922C4"/>
    <w:rsid w:val="0039247E"/>
    <w:rsid w:val="003924D9"/>
    <w:rsid w:val="0039270C"/>
    <w:rsid w:val="003943E6"/>
    <w:rsid w:val="00394788"/>
    <w:rsid w:val="003948B9"/>
    <w:rsid w:val="003955D4"/>
    <w:rsid w:val="00395953"/>
    <w:rsid w:val="00395B49"/>
    <w:rsid w:val="003A0330"/>
    <w:rsid w:val="003A0D8C"/>
    <w:rsid w:val="003A45FA"/>
    <w:rsid w:val="003A4C7C"/>
    <w:rsid w:val="003A51A4"/>
    <w:rsid w:val="003A7725"/>
    <w:rsid w:val="003A7B00"/>
    <w:rsid w:val="003B00CD"/>
    <w:rsid w:val="003B2D8E"/>
    <w:rsid w:val="003B2EA0"/>
    <w:rsid w:val="003B3476"/>
    <w:rsid w:val="003B3D62"/>
    <w:rsid w:val="003B6414"/>
    <w:rsid w:val="003B6A20"/>
    <w:rsid w:val="003B705D"/>
    <w:rsid w:val="003B717E"/>
    <w:rsid w:val="003B7B5E"/>
    <w:rsid w:val="003B7E0B"/>
    <w:rsid w:val="003C013E"/>
    <w:rsid w:val="003C051C"/>
    <w:rsid w:val="003C09D9"/>
    <w:rsid w:val="003C1402"/>
    <w:rsid w:val="003C2009"/>
    <w:rsid w:val="003C2503"/>
    <w:rsid w:val="003C2E55"/>
    <w:rsid w:val="003C2EC4"/>
    <w:rsid w:val="003C2EDD"/>
    <w:rsid w:val="003C336A"/>
    <w:rsid w:val="003C409A"/>
    <w:rsid w:val="003C4359"/>
    <w:rsid w:val="003C471F"/>
    <w:rsid w:val="003C4E75"/>
    <w:rsid w:val="003C4F95"/>
    <w:rsid w:val="003C5CC9"/>
    <w:rsid w:val="003C6282"/>
    <w:rsid w:val="003C7D63"/>
    <w:rsid w:val="003C7E18"/>
    <w:rsid w:val="003D0482"/>
    <w:rsid w:val="003D095E"/>
    <w:rsid w:val="003D0BC4"/>
    <w:rsid w:val="003D3092"/>
    <w:rsid w:val="003D3444"/>
    <w:rsid w:val="003D387F"/>
    <w:rsid w:val="003D38EE"/>
    <w:rsid w:val="003D3F9E"/>
    <w:rsid w:val="003D42C4"/>
    <w:rsid w:val="003D4EFF"/>
    <w:rsid w:val="003D5085"/>
    <w:rsid w:val="003D53C2"/>
    <w:rsid w:val="003D69FB"/>
    <w:rsid w:val="003D7911"/>
    <w:rsid w:val="003E0EB4"/>
    <w:rsid w:val="003E1155"/>
    <w:rsid w:val="003E2024"/>
    <w:rsid w:val="003E2623"/>
    <w:rsid w:val="003E2962"/>
    <w:rsid w:val="003E38FB"/>
    <w:rsid w:val="003E3C65"/>
    <w:rsid w:val="003E43F2"/>
    <w:rsid w:val="003E5636"/>
    <w:rsid w:val="003E5DBC"/>
    <w:rsid w:val="003E6CF7"/>
    <w:rsid w:val="003E7587"/>
    <w:rsid w:val="003F0849"/>
    <w:rsid w:val="003F0AF4"/>
    <w:rsid w:val="003F142C"/>
    <w:rsid w:val="003F16AD"/>
    <w:rsid w:val="003F1B89"/>
    <w:rsid w:val="003F201A"/>
    <w:rsid w:val="003F3BA6"/>
    <w:rsid w:val="003F40D5"/>
    <w:rsid w:val="003F4113"/>
    <w:rsid w:val="003F4C72"/>
    <w:rsid w:val="003F5047"/>
    <w:rsid w:val="003F5FB4"/>
    <w:rsid w:val="0040016A"/>
    <w:rsid w:val="00401BDE"/>
    <w:rsid w:val="00403A2C"/>
    <w:rsid w:val="00403D59"/>
    <w:rsid w:val="0040499F"/>
    <w:rsid w:val="004056A4"/>
    <w:rsid w:val="00405E27"/>
    <w:rsid w:val="0040771E"/>
    <w:rsid w:val="004101A1"/>
    <w:rsid w:val="0041028F"/>
    <w:rsid w:val="004109B9"/>
    <w:rsid w:val="004112EF"/>
    <w:rsid w:val="00411480"/>
    <w:rsid w:val="00412AF9"/>
    <w:rsid w:val="0041402B"/>
    <w:rsid w:val="00415136"/>
    <w:rsid w:val="0041532E"/>
    <w:rsid w:val="00415926"/>
    <w:rsid w:val="00416FBE"/>
    <w:rsid w:val="00420A91"/>
    <w:rsid w:val="00421B8F"/>
    <w:rsid w:val="00424284"/>
    <w:rsid w:val="00424AED"/>
    <w:rsid w:val="00424EBA"/>
    <w:rsid w:val="00425645"/>
    <w:rsid w:val="0042670C"/>
    <w:rsid w:val="00427D57"/>
    <w:rsid w:val="00427F41"/>
    <w:rsid w:val="00431FF7"/>
    <w:rsid w:val="00432ADC"/>
    <w:rsid w:val="0043504C"/>
    <w:rsid w:val="0044037D"/>
    <w:rsid w:val="00442D8F"/>
    <w:rsid w:val="004461C6"/>
    <w:rsid w:val="00447239"/>
    <w:rsid w:val="004478EE"/>
    <w:rsid w:val="00447AD0"/>
    <w:rsid w:val="00450574"/>
    <w:rsid w:val="00451607"/>
    <w:rsid w:val="0045303D"/>
    <w:rsid w:val="00453189"/>
    <w:rsid w:val="00454174"/>
    <w:rsid w:val="0045444B"/>
    <w:rsid w:val="004545E3"/>
    <w:rsid w:val="00455A26"/>
    <w:rsid w:val="004563DE"/>
    <w:rsid w:val="00457760"/>
    <w:rsid w:val="00457AC7"/>
    <w:rsid w:val="00457ECA"/>
    <w:rsid w:val="0046081D"/>
    <w:rsid w:val="004615F7"/>
    <w:rsid w:val="00462759"/>
    <w:rsid w:val="00463C20"/>
    <w:rsid w:val="00465497"/>
    <w:rsid w:val="00466BA8"/>
    <w:rsid w:val="00467C3C"/>
    <w:rsid w:val="00467F49"/>
    <w:rsid w:val="00472A41"/>
    <w:rsid w:val="00472FBC"/>
    <w:rsid w:val="0047467B"/>
    <w:rsid w:val="004747BA"/>
    <w:rsid w:val="00474DBF"/>
    <w:rsid w:val="00475729"/>
    <w:rsid w:val="00475AE9"/>
    <w:rsid w:val="00475C46"/>
    <w:rsid w:val="004765BD"/>
    <w:rsid w:val="00477368"/>
    <w:rsid w:val="00477392"/>
    <w:rsid w:val="0047753F"/>
    <w:rsid w:val="004775CD"/>
    <w:rsid w:val="00477D7C"/>
    <w:rsid w:val="00480B8F"/>
    <w:rsid w:val="004821D2"/>
    <w:rsid w:val="00482256"/>
    <w:rsid w:val="00482BC5"/>
    <w:rsid w:val="00482E15"/>
    <w:rsid w:val="00483196"/>
    <w:rsid w:val="00483399"/>
    <w:rsid w:val="0048358C"/>
    <w:rsid w:val="0048390F"/>
    <w:rsid w:val="00484801"/>
    <w:rsid w:val="004878F8"/>
    <w:rsid w:val="00487A6A"/>
    <w:rsid w:val="00487B3C"/>
    <w:rsid w:val="004903AF"/>
    <w:rsid w:val="0049147A"/>
    <w:rsid w:val="00492E41"/>
    <w:rsid w:val="00492FC3"/>
    <w:rsid w:val="00493E23"/>
    <w:rsid w:val="0049468D"/>
    <w:rsid w:val="004949B2"/>
    <w:rsid w:val="00495E55"/>
    <w:rsid w:val="00495EF6"/>
    <w:rsid w:val="00496BF4"/>
    <w:rsid w:val="004A0509"/>
    <w:rsid w:val="004A21AC"/>
    <w:rsid w:val="004A3A97"/>
    <w:rsid w:val="004A3BEA"/>
    <w:rsid w:val="004A44A9"/>
    <w:rsid w:val="004A4B45"/>
    <w:rsid w:val="004A5062"/>
    <w:rsid w:val="004A553A"/>
    <w:rsid w:val="004A5C7B"/>
    <w:rsid w:val="004A7DDE"/>
    <w:rsid w:val="004B12BE"/>
    <w:rsid w:val="004B1C61"/>
    <w:rsid w:val="004B1EE6"/>
    <w:rsid w:val="004B2A37"/>
    <w:rsid w:val="004B40E4"/>
    <w:rsid w:val="004B4E2E"/>
    <w:rsid w:val="004B563B"/>
    <w:rsid w:val="004B57C3"/>
    <w:rsid w:val="004B6175"/>
    <w:rsid w:val="004B61F1"/>
    <w:rsid w:val="004B6838"/>
    <w:rsid w:val="004B6E0E"/>
    <w:rsid w:val="004B717F"/>
    <w:rsid w:val="004B73C6"/>
    <w:rsid w:val="004B769D"/>
    <w:rsid w:val="004B7846"/>
    <w:rsid w:val="004B7D47"/>
    <w:rsid w:val="004B7EBF"/>
    <w:rsid w:val="004C03FE"/>
    <w:rsid w:val="004C2175"/>
    <w:rsid w:val="004C2508"/>
    <w:rsid w:val="004C3021"/>
    <w:rsid w:val="004C398C"/>
    <w:rsid w:val="004C47FD"/>
    <w:rsid w:val="004C5221"/>
    <w:rsid w:val="004C5C94"/>
    <w:rsid w:val="004C68AB"/>
    <w:rsid w:val="004C6D0A"/>
    <w:rsid w:val="004C7351"/>
    <w:rsid w:val="004C7EA9"/>
    <w:rsid w:val="004C7F48"/>
    <w:rsid w:val="004D06E8"/>
    <w:rsid w:val="004D088E"/>
    <w:rsid w:val="004D0A76"/>
    <w:rsid w:val="004D1025"/>
    <w:rsid w:val="004D185D"/>
    <w:rsid w:val="004D20D7"/>
    <w:rsid w:val="004D2AEB"/>
    <w:rsid w:val="004D31AE"/>
    <w:rsid w:val="004D34B4"/>
    <w:rsid w:val="004D3571"/>
    <w:rsid w:val="004D3BFE"/>
    <w:rsid w:val="004D3D0D"/>
    <w:rsid w:val="004D45D2"/>
    <w:rsid w:val="004D5423"/>
    <w:rsid w:val="004D5E40"/>
    <w:rsid w:val="004D76B1"/>
    <w:rsid w:val="004E0010"/>
    <w:rsid w:val="004E0968"/>
    <w:rsid w:val="004E0A33"/>
    <w:rsid w:val="004E2735"/>
    <w:rsid w:val="004E541F"/>
    <w:rsid w:val="004E5D93"/>
    <w:rsid w:val="004E770F"/>
    <w:rsid w:val="004F155B"/>
    <w:rsid w:val="004F3455"/>
    <w:rsid w:val="004F41FC"/>
    <w:rsid w:val="004F447C"/>
    <w:rsid w:val="004F52CD"/>
    <w:rsid w:val="004F53AD"/>
    <w:rsid w:val="004F5F3A"/>
    <w:rsid w:val="004F7281"/>
    <w:rsid w:val="004F7619"/>
    <w:rsid w:val="00503453"/>
    <w:rsid w:val="005034B2"/>
    <w:rsid w:val="00503689"/>
    <w:rsid w:val="00503EE4"/>
    <w:rsid w:val="00504170"/>
    <w:rsid w:val="0050459D"/>
    <w:rsid w:val="00504949"/>
    <w:rsid w:val="0050534A"/>
    <w:rsid w:val="00506305"/>
    <w:rsid w:val="00506611"/>
    <w:rsid w:val="00506EDD"/>
    <w:rsid w:val="00507358"/>
    <w:rsid w:val="005152B0"/>
    <w:rsid w:val="0051531B"/>
    <w:rsid w:val="005154C9"/>
    <w:rsid w:val="005158A1"/>
    <w:rsid w:val="0051636A"/>
    <w:rsid w:val="005179B9"/>
    <w:rsid w:val="0052105E"/>
    <w:rsid w:val="00522214"/>
    <w:rsid w:val="00522C76"/>
    <w:rsid w:val="00522F91"/>
    <w:rsid w:val="005233B5"/>
    <w:rsid w:val="005245CC"/>
    <w:rsid w:val="00524D9D"/>
    <w:rsid w:val="005251EA"/>
    <w:rsid w:val="00525340"/>
    <w:rsid w:val="0052589D"/>
    <w:rsid w:val="00525F48"/>
    <w:rsid w:val="005263F9"/>
    <w:rsid w:val="0053046B"/>
    <w:rsid w:val="0053105A"/>
    <w:rsid w:val="00532A0B"/>
    <w:rsid w:val="00533648"/>
    <w:rsid w:val="005337C1"/>
    <w:rsid w:val="00535768"/>
    <w:rsid w:val="005361DD"/>
    <w:rsid w:val="00536742"/>
    <w:rsid w:val="0053693A"/>
    <w:rsid w:val="00536BB8"/>
    <w:rsid w:val="00536E7B"/>
    <w:rsid w:val="00537285"/>
    <w:rsid w:val="00540785"/>
    <w:rsid w:val="00540D83"/>
    <w:rsid w:val="0054196C"/>
    <w:rsid w:val="00541CF9"/>
    <w:rsid w:val="005420D4"/>
    <w:rsid w:val="00542993"/>
    <w:rsid w:val="00543BAC"/>
    <w:rsid w:val="005448C7"/>
    <w:rsid w:val="00545563"/>
    <w:rsid w:val="005501B5"/>
    <w:rsid w:val="00550E8E"/>
    <w:rsid w:val="00551769"/>
    <w:rsid w:val="00551C35"/>
    <w:rsid w:val="0055278E"/>
    <w:rsid w:val="00553277"/>
    <w:rsid w:val="00553500"/>
    <w:rsid w:val="005535E1"/>
    <w:rsid w:val="005537BF"/>
    <w:rsid w:val="00554191"/>
    <w:rsid w:val="00554970"/>
    <w:rsid w:val="00555D39"/>
    <w:rsid w:val="00557434"/>
    <w:rsid w:val="005600BD"/>
    <w:rsid w:val="00560217"/>
    <w:rsid w:val="005614A0"/>
    <w:rsid w:val="0056176F"/>
    <w:rsid w:val="00561822"/>
    <w:rsid w:val="005621FC"/>
    <w:rsid w:val="00562A5D"/>
    <w:rsid w:val="00562C39"/>
    <w:rsid w:val="00563118"/>
    <w:rsid w:val="005634E1"/>
    <w:rsid w:val="00564503"/>
    <w:rsid w:val="00564C80"/>
    <w:rsid w:val="00565C9C"/>
    <w:rsid w:val="005660E7"/>
    <w:rsid w:val="005665C2"/>
    <w:rsid w:val="00566E76"/>
    <w:rsid w:val="00566EF3"/>
    <w:rsid w:val="00566F8F"/>
    <w:rsid w:val="00567966"/>
    <w:rsid w:val="00567AC6"/>
    <w:rsid w:val="00567AC8"/>
    <w:rsid w:val="00571C8F"/>
    <w:rsid w:val="00572825"/>
    <w:rsid w:val="00572949"/>
    <w:rsid w:val="00572ADE"/>
    <w:rsid w:val="00572BAC"/>
    <w:rsid w:val="00573474"/>
    <w:rsid w:val="00573D4C"/>
    <w:rsid w:val="00573F12"/>
    <w:rsid w:val="00574830"/>
    <w:rsid w:val="00575AE0"/>
    <w:rsid w:val="00577678"/>
    <w:rsid w:val="00577746"/>
    <w:rsid w:val="00580AD8"/>
    <w:rsid w:val="00581472"/>
    <w:rsid w:val="0058189E"/>
    <w:rsid w:val="0058198A"/>
    <w:rsid w:val="00583800"/>
    <w:rsid w:val="00585760"/>
    <w:rsid w:val="00585A98"/>
    <w:rsid w:val="00585DDD"/>
    <w:rsid w:val="005864C9"/>
    <w:rsid w:val="005867D7"/>
    <w:rsid w:val="0058681B"/>
    <w:rsid w:val="00586D9E"/>
    <w:rsid w:val="005909FF"/>
    <w:rsid w:val="00591168"/>
    <w:rsid w:val="0059157B"/>
    <w:rsid w:val="00591EEB"/>
    <w:rsid w:val="0059249B"/>
    <w:rsid w:val="0059295C"/>
    <w:rsid w:val="00593BCE"/>
    <w:rsid w:val="00593C9C"/>
    <w:rsid w:val="005941B6"/>
    <w:rsid w:val="00594F8E"/>
    <w:rsid w:val="005954C3"/>
    <w:rsid w:val="00595B08"/>
    <w:rsid w:val="00595BB2"/>
    <w:rsid w:val="005963B5"/>
    <w:rsid w:val="0059649C"/>
    <w:rsid w:val="00596A82"/>
    <w:rsid w:val="00597049"/>
    <w:rsid w:val="005974D8"/>
    <w:rsid w:val="00597D28"/>
    <w:rsid w:val="00597F94"/>
    <w:rsid w:val="005A0AEF"/>
    <w:rsid w:val="005A0FA5"/>
    <w:rsid w:val="005A1203"/>
    <w:rsid w:val="005A1396"/>
    <w:rsid w:val="005A1908"/>
    <w:rsid w:val="005A2770"/>
    <w:rsid w:val="005A2C91"/>
    <w:rsid w:val="005A495B"/>
    <w:rsid w:val="005A6585"/>
    <w:rsid w:val="005A67E0"/>
    <w:rsid w:val="005A6990"/>
    <w:rsid w:val="005B014F"/>
    <w:rsid w:val="005B0AF7"/>
    <w:rsid w:val="005B0BB4"/>
    <w:rsid w:val="005B13A5"/>
    <w:rsid w:val="005B22F5"/>
    <w:rsid w:val="005B25CF"/>
    <w:rsid w:val="005B36CA"/>
    <w:rsid w:val="005B3C4A"/>
    <w:rsid w:val="005B4D26"/>
    <w:rsid w:val="005B522C"/>
    <w:rsid w:val="005B79D0"/>
    <w:rsid w:val="005B7A1F"/>
    <w:rsid w:val="005B7CC6"/>
    <w:rsid w:val="005C199E"/>
    <w:rsid w:val="005C3441"/>
    <w:rsid w:val="005C4CA9"/>
    <w:rsid w:val="005C4EC4"/>
    <w:rsid w:val="005D05AD"/>
    <w:rsid w:val="005D05F0"/>
    <w:rsid w:val="005D1776"/>
    <w:rsid w:val="005D1B81"/>
    <w:rsid w:val="005D3BDA"/>
    <w:rsid w:val="005D4C73"/>
    <w:rsid w:val="005D70DB"/>
    <w:rsid w:val="005D79AC"/>
    <w:rsid w:val="005D7A66"/>
    <w:rsid w:val="005E026F"/>
    <w:rsid w:val="005E0391"/>
    <w:rsid w:val="005E0F0C"/>
    <w:rsid w:val="005E1172"/>
    <w:rsid w:val="005E18C1"/>
    <w:rsid w:val="005E1C0F"/>
    <w:rsid w:val="005E20EC"/>
    <w:rsid w:val="005E272E"/>
    <w:rsid w:val="005E3DA1"/>
    <w:rsid w:val="005E4794"/>
    <w:rsid w:val="005E4BCE"/>
    <w:rsid w:val="005E5E86"/>
    <w:rsid w:val="005E670E"/>
    <w:rsid w:val="005E7389"/>
    <w:rsid w:val="005E794A"/>
    <w:rsid w:val="005F1CDB"/>
    <w:rsid w:val="005F2B1B"/>
    <w:rsid w:val="005F40EE"/>
    <w:rsid w:val="005F437B"/>
    <w:rsid w:val="005F4833"/>
    <w:rsid w:val="005F4E17"/>
    <w:rsid w:val="005F5441"/>
    <w:rsid w:val="005F64D5"/>
    <w:rsid w:val="005F74E2"/>
    <w:rsid w:val="00600088"/>
    <w:rsid w:val="00600ACF"/>
    <w:rsid w:val="00600B95"/>
    <w:rsid w:val="00600FF3"/>
    <w:rsid w:val="0060131D"/>
    <w:rsid w:val="00601562"/>
    <w:rsid w:val="006019DF"/>
    <w:rsid w:val="006020BD"/>
    <w:rsid w:val="00603615"/>
    <w:rsid w:val="006037FA"/>
    <w:rsid w:val="00610238"/>
    <w:rsid w:val="00611048"/>
    <w:rsid w:val="00611704"/>
    <w:rsid w:val="00611A37"/>
    <w:rsid w:val="00612938"/>
    <w:rsid w:val="00613855"/>
    <w:rsid w:val="00614BBF"/>
    <w:rsid w:val="00615C3D"/>
    <w:rsid w:val="006160C4"/>
    <w:rsid w:val="00620777"/>
    <w:rsid w:val="00620B9A"/>
    <w:rsid w:val="00620BF4"/>
    <w:rsid w:val="00620D87"/>
    <w:rsid w:val="00620D93"/>
    <w:rsid w:val="006211AE"/>
    <w:rsid w:val="00621A28"/>
    <w:rsid w:val="00624126"/>
    <w:rsid w:val="00625804"/>
    <w:rsid w:val="006259EB"/>
    <w:rsid w:val="00626403"/>
    <w:rsid w:val="006268A6"/>
    <w:rsid w:val="00626932"/>
    <w:rsid w:val="006269CC"/>
    <w:rsid w:val="00626C21"/>
    <w:rsid w:val="00626E40"/>
    <w:rsid w:val="00626E51"/>
    <w:rsid w:val="00630485"/>
    <w:rsid w:val="0063062E"/>
    <w:rsid w:val="00630EEA"/>
    <w:rsid w:val="0063132D"/>
    <w:rsid w:val="00632438"/>
    <w:rsid w:val="00632788"/>
    <w:rsid w:val="00633D3D"/>
    <w:rsid w:val="0063505E"/>
    <w:rsid w:val="006352AD"/>
    <w:rsid w:val="00635B19"/>
    <w:rsid w:val="0063658F"/>
    <w:rsid w:val="0063690A"/>
    <w:rsid w:val="00636C6E"/>
    <w:rsid w:val="00637299"/>
    <w:rsid w:val="006376D1"/>
    <w:rsid w:val="0064010C"/>
    <w:rsid w:val="00641B90"/>
    <w:rsid w:val="00641C14"/>
    <w:rsid w:val="006425FA"/>
    <w:rsid w:val="0064350B"/>
    <w:rsid w:val="00644496"/>
    <w:rsid w:val="00646238"/>
    <w:rsid w:val="00650417"/>
    <w:rsid w:val="00651115"/>
    <w:rsid w:val="00652964"/>
    <w:rsid w:val="0065402C"/>
    <w:rsid w:val="0065430A"/>
    <w:rsid w:val="0065468F"/>
    <w:rsid w:val="00655A1C"/>
    <w:rsid w:val="006562F0"/>
    <w:rsid w:val="006616D2"/>
    <w:rsid w:val="00662452"/>
    <w:rsid w:val="00662C0E"/>
    <w:rsid w:val="006630A1"/>
    <w:rsid w:val="00663E42"/>
    <w:rsid w:val="00664328"/>
    <w:rsid w:val="00664768"/>
    <w:rsid w:val="00664B25"/>
    <w:rsid w:val="00665B17"/>
    <w:rsid w:val="00666609"/>
    <w:rsid w:val="00666A10"/>
    <w:rsid w:val="00667A06"/>
    <w:rsid w:val="00667A94"/>
    <w:rsid w:val="006707FA"/>
    <w:rsid w:val="00671721"/>
    <w:rsid w:val="00671B10"/>
    <w:rsid w:val="00671BE6"/>
    <w:rsid w:val="00673AD8"/>
    <w:rsid w:val="006740B8"/>
    <w:rsid w:val="006741E2"/>
    <w:rsid w:val="006746E5"/>
    <w:rsid w:val="006749F7"/>
    <w:rsid w:val="006751F5"/>
    <w:rsid w:val="00676261"/>
    <w:rsid w:val="006762EB"/>
    <w:rsid w:val="00676831"/>
    <w:rsid w:val="00676F30"/>
    <w:rsid w:val="006775F0"/>
    <w:rsid w:val="00677CC7"/>
    <w:rsid w:val="00680314"/>
    <w:rsid w:val="006814A9"/>
    <w:rsid w:val="00682041"/>
    <w:rsid w:val="006838C2"/>
    <w:rsid w:val="00683B8A"/>
    <w:rsid w:val="00684964"/>
    <w:rsid w:val="006855FC"/>
    <w:rsid w:val="00685D53"/>
    <w:rsid w:val="006861C3"/>
    <w:rsid w:val="006868C4"/>
    <w:rsid w:val="00687410"/>
    <w:rsid w:val="006875D6"/>
    <w:rsid w:val="00690333"/>
    <w:rsid w:val="006904CC"/>
    <w:rsid w:val="00690B68"/>
    <w:rsid w:val="006916CA"/>
    <w:rsid w:val="00691E7E"/>
    <w:rsid w:val="00692686"/>
    <w:rsid w:val="006939A8"/>
    <w:rsid w:val="00694304"/>
    <w:rsid w:val="0069489D"/>
    <w:rsid w:val="00694E3B"/>
    <w:rsid w:val="00696975"/>
    <w:rsid w:val="00696B42"/>
    <w:rsid w:val="006974A2"/>
    <w:rsid w:val="00697B73"/>
    <w:rsid w:val="00697E6D"/>
    <w:rsid w:val="006A059C"/>
    <w:rsid w:val="006A15CD"/>
    <w:rsid w:val="006A1C3F"/>
    <w:rsid w:val="006A1C43"/>
    <w:rsid w:val="006A2F98"/>
    <w:rsid w:val="006A3169"/>
    <w:rsid w:val="006A4B6F"/>
    <w:rsid w:val="006A5F60"/>
    <w:rsid w:val="006A60FC"/>
    <w:rsid w:val="006A64B0"/>
    <w:rsid w:val="006A64BD"/>
    <w:rsid w:val="006A6D79"/>
    <w:rsid w:val="006A721F"/>
    <w:rsid w:val="006A728E"/>
    <w:rsid w:val="006A7466"/>
    <w:rsid w:val="006A7E93"/>
    <w:rsid w:val="006B2623"/>
    <w:rsid w:val="006B3C54"/>
    <w:rsid w:val="006B431C"/>
    <w:rsid w:val="006B441E"/>
    <w:rsid w:val="006B50A9"/>
    <w:rsid w:val="006B5573"/>
    <w:rsid w:val="006B5AFA"/>
    <w:rsid w:val="006B5EBF"/>
    <w:rsid w:val="006B6ED2"/>
    <w:rsid w:val="006B6FFE"/>
    <w:rsid w:val="006B71B0"/>
    <w:rsid w:val="006B740F"/>
    <w:rsid w:val="006B746B"/>
    <w:rsid w:val="006B7C2F"/>
    <w:rsid w:val="006C0735"/>
    <w:rsid w:val="006C1437"/>
    <w:rsid w:val="006C1E01"/>
    <w:rsid w:val="006C1E19"/>
    <w:rsid w:val="006C32AD"/>
    <w:rsid w:val="006C3E40"/>
    <w:rsid w:val="006C47A3"/>
    <w:rsid w:val="006C4A9B"/>
    <w:rsid w:val="006C51DE"/>
    <w:rsid w:val="006C705E"/>
    <w:rsid w:val="006C7297"/>
    <w:rsid w:val="006C7579"/>
    <w:rsid w:val="006D0383"/>
    <w:rsid w:val="006D08FE"/>
    <w:rsid w:val="006D0946"/>
    <w:rsid w:val="006D0EDF"/>
    <w:rsid w:val="006D10B7"/>
    <w:rsid w:val="006D1840"/>
    <w:rsid w:val="006D211C"/>
    <w:rsid w:val="006D40D4"/>
    <w:rsid w:val="006D41E2"/>
    <w:rsid w:val="006D4CF2"/>
    <w:rsid w:val="006D5668"/>
    <w:rsid w:val="006D656F"/>
    <w:rsid w:val="006D775B"/>
    <w:rsid w:val="006D7E93"/>
    <w:rsid w:val="006E0E9F"/>
    <w:rsid w:val="006E1076"/>
    <w:rsid w:val="006E1266"/>
    <w:rsid w:val="006E1B63"/>
    <w:rsid w:val="006E2D4B"/>
    <w:rsid w:val="006E30D8"/>
    <w:rsid w:val="006E49D5"/>
    <w:rsid w:val="006E5871"/>
    <w:rsid w:val="006E676D"/>
    <w:rsid w:val="006E69F6"/>
    <w:rsid w:val="006F060C"/>
    <w:rsid w:val="006F0E49"/>
    <w:rsid w:val="006F1EB3"/>
    <w:rsid w:val="006F2C37"/>
    <w:rsid w:val="006F2CA2"/>
    <w:rsid w:val="006F2ED9"/>
    <w:rsid w:val="006F3BFF"/>
    <w:rsid w:val="006F416D"/>
    <w:rsid w:val="006F4BC4"/>
    <w:rsid w:val="006F4E27"/>
    <w:rsid w:val="006F4FD5"/>
    <w:rsid w:val="006F65F8"/>
    <w:rsid w:val="006F76CF"/>
    <w:rsid w:val="006F7F74"/>
    <w:rsid w:val="007000E5"/>
    <w:rsid w:val="00701C15"/>
    <w:rsid w:val="007020A3"/>
    <w:rsid w:val="00703671"/>
    <w:rsid w:val="007039B9"/>
    <w:rsid w:val="007047DC"/>
    <w:rsid w:val="00704903"/>
    <w:rsid w:val="007058A4"/>
    <w:rsid w:val="00705DB9"/>
    <w:rsid w:val="00706148"/>
    <w:rsid w:val="00710117"/>
    <w:rsid w:val="00711953"/>
    <w:rsid w:val="00711D20"/>
    <w:rsid w:val="007132F3"/>
    <w:rsid w:val="00713323"/>
    <w:rsid w:val="007141F1"/>
    <w:rsid w:val="0071427F"/>
    <w:rsid w:val="00714C7A"/>
    <w:rsid w:val="00715FD9"/>
    <w:rsid w:val="0071639C"/>
    <w:rsid w:val="007165D9"/>
    <w:rsid w:val="00716B45"/>
    <w:rsid w:val="00717298"/>
    <w:rsid w:val="007177A8"/>
    <w:rsid w:val="007179EA"/>
    <w:rsid w:val="00720B16"/>
    <w:rsid w:val="00721469"/>
    <w:rsid w:val="00722689"/>
    <w:rsid w:val="00722C28"/>
    <w:rsid w:val="00722DE8"/>
    <w:rsid w:val="00723791"/>
    <w:rsid w:val="00723EF2"/>
    <w:rsid w:val="00724274"/>
    <w:rsid w:val="007251A3"/>
    <w:rsid w:val="007258DE"/>
    <w:rsid w:val="00725E40"/>
    <w:rsid w:val="0072736A"/>
    <w:rsid w:val="007273BC"/>
    <w:rsid w:val="007275DF"/>
    <w:rsid w:val="0073022F"/>
    <w:rsid w:val="0073122C"/>
    <w:rsid w:val="00731581"/>
    <w:rsid w:val="00731B3D"/>
    <w:rsid w:val="007321EE"/>
    <w:rsid w:val="00733A03"/>
    <w:rsid w:val="00736724"/>
    <w:rsid w:val="007368D2"/>
    <w:rsid w:val="00740326"/>
    <w:rsid w:val="00741CA8"/>
    <w:rsid w:val="00742736"/>
    <w:rsid w:val="00743661"/>
    <w:rsid w:val="00743A62"/>
    <w:rsid w:val="007441CA"/>
    <w:rsid w:val="007446DE"/>
    <w:rsid w:val="00744BFB"/>
    <w:rsid w:val="00744D4F"/>
    <w:rsid w:val="00746132"/>
    <w:rsid w:val="00746414"/>
    <w:rsid w:val="00747D43"/>
    <w:rsid w:val="00750522"/>
    <w:rsid w:val="007507C3"/>
    <w:rsid w:val="00750842"/>
    <w:rsid w:val="0075122E"/>
    <w:rsid w:val="0075188A"/>
    <w:rsid w:val="0075279C"/>
    <w:rsid w:val="007529DA"/>
    <w:rsid w:val="00752E15"/>
    <w:rsid w:val="00752EF8"/>
    <w:rsid w:val="00753580"/>
    <w:rsid w:val="00754C2A"/>
    <w:rsid w:val="00755B70"/>
    <w:rsid w:val="0075615F"/>
    <w:rsid w:val="0075619B"/>
    <w:rsid w:val="00756785"/>
    <w:rsid w:val="007568A7"/>
    <w:rsid w:val="00756E55"/>
    <w:rsid w:val="00756EAC"/>
    <w:rsid w:val="00757348"/>
    <w:rsid w:val="0075755D"/>
    <w:rsid w:val="00757DC2"/>
    <w:rsid w:val="00760BF3"/>
    <w:rsid w:val="00761A72"/>
    <w:rsid w:val="00762FDB"/>
    <w:rsid w:val="00763102"/>
    <w:rsid w:val="007645A6"/>
    <w:rsid w:val="00764F83"/>
    <w:rsid w:val="00765047"/>
    <w:rsid w:val="00766064"/>
    <w:rsid w:val="00767658"/>
    <w:rsid w:val="00770A76"/>
    <w:rsid w:val="007712E1"/>
    <w:rsid w:val="0077302D"/>
    <w:rsid w:val="00775D94"/>
    <w:rsid w:val="007760E1"/>
    <w:rsid w:val="007801F0"/>
    <w:rsid w:val="007811BB"/>
    <w:rsid w:val="00781A97"/>
    <w:rsid w:val="007822CD"/>
    <w:rsid w:val="0078295E"/>
    <w:rsid w:val="00784151"/>
    <w:rsid w:val="007841C8"/>
    <w:rsid w:val="007841C9"/>
    <w:rsid w:val="00784AD6"/>
    <w:rsid w:val="00784B32"/>
    <w:rsid w:val="00784C5E"/>
    <w:rsid w:val="00784F66"/>
    <w:rsid w:val="00784FCA"/>
    <w:rsid w:val="00786F19"/>
    <w:rsid w:val="00787112"/>
    <w:rsid w:val="0078720B"/>
    <w:rsid w:val="00787375"/>
    <w:rsid w:val="0079007C"/>
    <w:rsid w:val="0079007F"/>
    <w:rsid w:val="007901A5"/>
    <w:rsid w:val="007907B7"/>
    <w:rsid w:val="00791893"/>
    <w:rsid w:val="00792687"/>
    <w:rsid w:val="00793C71"/>
    <w:rsid w:val="007945DB"/>
    <w:rsid w:val="007951E3"/>
    <w:rsid w:val="0079528D"/>
    <w:rsid w:val="007964C0"/>
    <w:rsid w:val="00796AEA"/>
    <w:rsid w:val="00797366"/>
    <w:rsid w:val="0079759E"/>
    <w:rsid w:val="00797E6B"/>
    <w:rsid w:val="007A1426"/>
    <w:rsid w:val="007A237A"/>
    <w:rsid w:val="007A3157"/>
    <w:rsid w:val="007A3571"/>
    <w:rsid w:val="007A459C"/>
    <w:rsid w:val="007A54FE"/>
    <w:rsid w:val="007A5B2E"/>
    <w:rsid w:val="007A5D4F"/>
    <w:rsid w:val="007A5FD0"/>
    <w:rsid w:val="007A6277"/>
    <w:rsid w:val="007A73EA"/>
    <w:rsid w:val="007A7710"/>
    <w:rsid w:val="007B06CC"/>
    <w:rsid w:val="007B2720"/>
    <w:rsid w:val="007B3AF4"/>
    <w:rsid w:val="007B3C37"/>
    <w:rsid w:val="007B3EBF"/>
    <w:rsid w:val="007B444C"/>
    <w:rsid w:val="007B58AD"/>
    <w:rsid w:val="007B6662"/>
    <w:rsid w:val="007B7FD1"/>
    <w:rsid w:val="007C0A26"/>
    <w:rsid w:val="007C121A"/>
    <w:rsid w:val="007C22A9"/>
    <w:rsid w:val="007C2ACC"/>
    <w:rsid w:val="007C2E24"/>
    <w:rsid w:val="007C38DB"/>
    <w:rsid w:val="007C4E7B"/>
    <w:rsid w:val="007C5CC5"/>
    <w:rsid w:val="007D2137"/>
    <w:rsid w:val="007D2590"/>
    <w:rsid w:val="007D360C"/>
    <w:rsid w:val="007D5164"/>
    <w:rsid w:val="007D517A"/>
    <w:rsid w:val="007D58A9"/>
    <w:rsid w:val="007D5F92"/>
    <w:rsid w:val="007D6733"/>
    <w:rsid w:val="007D75F4"/>
    <w:rsid w:val="007E2510"/>
    <w:rsid w:val="007E2B3D"/>
    <w:rsid w:val="007E344F"/>
    <w:rsid w:val="007E3A5E"/>
    <w:rsid w:val="007E4243"/>
    <w:rsid w:val="007E4551"/>
    <w:rsid w:val="007E521B"/>
    <w:rsid w:val="007E56CB"/>
    <w:rsid w:val="007E60AA"/>
    <w:rsid w:val="007E6D50"/>
    <w:rsid w:val="007E7350"/>
    <w:rsid w:val="007F038B"/>
    <w:rsid w:val="007F0773"/>
    <w:rsid w:val="007F0D4F"/>
    <w:rsid w:val="007F0E00"/>
    <w:rsid w:val="007F0FEF"/>
    <w:rsid w:val="007F2442"/>
    <w:rsid w:val="007F39AF"/>
    <w:rsid w:val="007F3CAF"/>
    <w:rsid w:val="007F5594"/>
    <w:rsid w:val="007F60AF"/>
    <w:rsid w:val="007F7657"/>
    <w:rsid w:val="00802424"/>
    <w:rsid w:val="00802470"/>
    <w:rsid w:val="008036AC"/>
    <w:rsid w:val="00803E15"/>
    <w:rsid w:val="00804333"/>
    <w:rsid w:val="00805348"/>
    <w:rsid w:val="00805614"/>
    <w:rsid w:val="00805D17"/>
    <w:rsid w:val="0080712D"/>
    <w:rsid w:val="00807CC6"/>
    <w:rsid w:val="00812FA4"/>
    <w:rsid w:val="0081306A"/>
    <w:rsid w:val="00813857"/>
    <w:rsid w:val="00814049"/>
    <w:rsid w:val="00814125"/>
    <w:rsid w:val="008151DD"/>
    <w:rsid w:val="008210E5"/>
    <w:rsid w:val="00821455"/>
    <w:rsid w:val="00821F39"/>
    <w:rsid w:val="008223AF"/>
    <w:rsid w:val="00822636"/>
    <w:rsid w:val="008232DB"/>
    <w:rsid w:val="008235F4"/>
    <w:rsid w:val="00823716"/>
    <w:rsid w:val="00823B15"/>
    <w:rsid w:val="0082529D"/>
    <w:rsid w:val="008253B7"/>
    <w:rsid w:val="0082615B"/>
    <w:rsid w:val="008261E2"/>
    <w:rsid w:val="008264EE"/>
    <w:rsid w:val="0082711E"/>
    <w:rsid w:val="008301D5"/>
    <w:rsid w:val="008303A4"/>
    <w:rsid w:val="00830AE5"/>
    <w:rsid w:val="008310B1"/>
    <w:rsid w:val="00831B07"/>
    <w:rsid w:val="00833458"/>
    <w:rsid w:val="008334F9"/>
    <w:rsid w:val="00833952"/>
    <w:rsid w:val="00833DC8"/>
    <w:rsid w:val="008344C1"/>
    <w:rsid w:val="00835933"/>
    <w:rsid w:val="00835B02"/>
    <w:rsid w:val="00835BE8"/>
    <w:rsid w:val="008365F9"/>
    <w:rsid w:val="008373D5"/>
    <w:rsid w:val="00840202"/>
    <w:rsid w:val="008406DC"/>
    <w:rsid w:val="00841FD1"/>
    <w:rsid w:val="00842344"/>
    <w:rsid w:val="008424A8"/>
    <w:rsid w:val="008427C1"/>
    <w:rsid w:val="00842DD1"/>
    <w:rsid w:val="00844B20"/>
    <w:rsid w:val="00844D98"/>
    <w:rsid w:val="00845488"/>
    <w:rsid w:val="00845FF7"/>
    <w:rsid w:val="00846437"/>
    <w:rsid w:val="0084679D"/>
    <w:rsid w:val="00847420"/>
    <w:rsid w:val="0084744F"/>
    <w:rsid w:val="00847BF2"/>
    <w:rsid w:val="00850186"/>
    <w:rsid w:val="0085021B"/>
    <w:rsid w:val="00850A85"/>
    <w:rsid w:val="00850B1C"/>
    <w:rsid w:val="0085196E"/>
    <w:rsid w:val="00851BCF"/>
    <w:rsid w:val="00852379"/>
    <w:rsid w:val="0085284A"/>
    <w:rsid w:val="008563E1"/>
    <w:rsid w:val="0085734D"/>
    <w:rsid w:val="00857714"/>
    <w:rsid w:val="008578A9"/>
    <w:rsid w:val="008611DE"/>
    <w:rsid w:val="0086121D"/>
    <w:rsid w:val="00861377"/>
    <w:rsid w:val="00861F8C"/>
    <w:rsid w:val="00863A03"/>
    <w:rsid w:val="00863B08"/>
    <w:rsid w:val="00864084"/>
    <w:rsid w:val="008644FC"/>
    <w:rsid w:val="00865FCC"/>
    <w:rsid w:val="00866E63"/>
    <w:rsid w:val="00867150"/>
    <w:rsid w:val="008673CD"/>
    <w:rsid w:val="008706D7"/>
    <w:rsid w:val="00870AE0"/>
    <w:rsid w:val="0087137B"/>
    <w:rsid w:val="00871B06"/>
    <w:rsid w:val="008722BE"/>
    <w:rsid w:val="008726DD"/>
    <w:rsid w:val="00873094"/>
    <w:rsid w:val="008732F2"/>
    <w:rsid w:val="008738C3"/>
    <w:rsid w:val="00873A45"/>
    <w:rsid w:val="0087430E"/>
    <w:rsid w:val="008759CF"/>
    <w:rsid w:val="00876749"/>
    <w:rsid w:val="00876AE5"/>
    <w:rsid w:val="00876C31"/>
    <w:rsid w:val="00876D6E"/>
    <w:rsid w:val="008808E2"/>
    <w:rsid w:val="00881D3F"/>
    <w:rsid w:val="00882287"/>
    <w:rsid w:val="00882B90"/>
    <w:rsid w:val="0088544A"/>
    <w:rsid w:val="008855BF"/>
    <w:rsid w:val="00887845"/>
    <w:rsid w:val="00890183"/>
    <w:rsid w:val="00890BF6"/>
    <w:rsid w:val="00891246"/>
    <w:rsid w:val="00892719"/>
    <w:rsid w:val="008929F9"/>
    <w:rsid w:val="0089390C"/>
    <w:rsid w:val="00893CF3"/>
    <w:rsid w:val="00893EA0"/>
    <w:rsid w:val="00894255"/>
    <w:rsid w:val="00894582"/>
    <w:rsid w:val="0089516D"/>
    <w:rsid w:val="008951FA"/>
    <w:rsid w:val="00895CC4"/>
    <w:rsid w:val="008960C5"/>
    <w:rsid w:val="008A013C"/>
    <w:rsid w:val="008A0F50"/>
    <w:rsid w:val="008A11CB"/>
    <w:rsid w:val="008A18A6"/>
    <w:rsid w:val="008A35FD"/>
    <w:rsid w:val="008A3CF4"/>
    <w:rsid w:val="008A3FDA"/>
    <w:rsid w:val="008A4C92"/>
    <w:rsid w:val="008A580D"/>
    <w:rsid w:val="008A59D7"/>
    <w:rsid w:val="008A67E4"/>
    <w:rsid w:val="008A733F"/>
    <w:rsid w:val="008A7879"/>
    <w:rsid w:val="008B0BC2"/>
    <w:rsid w:val="008B14C5"/>
    <w:rsid w:val="008B19F6"/>
    <w:rsid w:val="008B1C73"/>
    <w:rsid w:val="008B21C6"/>
    <w:rsid w:val="008B2447"/>
    <w:rsid w:val="008B25C6"/>
    <w:rsid w:val="008B3567"/>
    <w:rsid w:val="008B3C61"/>
    <w:rsid w:val="008B4116"/>
    <w:rsid w:val="008B4218"/>
    <w:rsid w:val="008B523F"/>
    <w:rsid w:val="008B5CB2"/>
    <w:rsid w:val="008B75F7"/>
    <w:rsid w:val="008B7B21"/>
    <w:rsid w:val="008B7E38"/>
    <w:rsid w:val="008B7EC3"/>
    <w:rsid w:val="008C023B"/>
    <w:rsid w:val="008C027A"/>
    <w:rsid w:val="008C0B29"/>
    <w:rsid w:val="008C0D37"/>
    <w:rsid w:val="008C1451"/>
    <w:rsid w:val="008C15D0"/>
    <w:rsid w:val="008C2A64"/>
    <w:rsid w:val="008C3059"/>
    <w:rsid w:val="008C40A1"/>
    <w:rsid w:val="008C5A17"/>
    <w:rsid w:val="008C5A63"/>
    <w:rsid w:val="008C6428"/>
    <w:rsid w:val="008C6795"/>
    <w:rsid w:val="008C6796"/>
    <w:rsid w:val="008C68D9"/>
    <w:rsid w:val="008C75A8"/>
    <w:rsid w:val="008C7A3B"/>
    <w:rsid w:val="008C7C43"/>
    <w:rsid w:val="008D0385"/>
    <w:rsid w:val="008D4B27"/>
    <w:rsid w:val="008D54BF"/>
    <w:rsid w:val="008D6334"/>
    <w:rsid w:val="008D6A49"/>
    <w:rsid w:val="008D6AF7"/>
    <w:rsid w:val="008E07C3"/>
    <w:rsid w:val="008E1D39"/>
    <w:rsid w:val="008E3874"/>
    <w:rsid w:val="008E5044"/>
    <w:rsid w:val="008E5AB2"/>
    <w:rsid w:val="008E6424"/>
    <w:rsid w:val="008E7F01"/>
    <w:rsid w:val="008F0F60"/>
    <w:rsid w:val="008F1E49"/>
    <w:rsid w:val="008F1F1A"/>
    <w:rsid w:val="008F3586"/>
    <w:rsid w:val="008F3C53"/>
    <w:rsid w:val="008F4455"/>
    <w:rsid w:val="008F4706"/>
    <w:rsid w:val="008F4759"/>
    <w:rsid w:val="008F4B27"/>
    <w:rsid w:val="008F4B98"/>
    <w:rsid w:val="008F5175"/>
    <w:rsid w:val="008F51AB"/>
    <w:rsid w:val="008F59A5"/>
    <w:rsid w:val="008F6251"/>
    <w:rsid w:val="008F6399"/>
    <w:rsid w:val="008F6650"/>
    <w:rsid w:val="008F7395"/>
    <w:rsid w:val="008F77A2"/>
    <w:rsid w:val="008F7B6E"/>
    <w:rsid w:val="00900AD1"/>
    <w:rsid w:val="00900D36"/>
    <w:rsid w:val="00901229"/>
    <w:rsid w:val="00901286"/>
    <w:rsid w:val="00901878"/>
    <w:rsid w:val="0090204F"/>
    <w:rsid w:val="00902387"/>
    <w:rsid w:val="00904BBB"/>
    <w:rsid w:val="00905809"/>
    <w:rsid w:val="009058F1"/>
    <w:rsid w:val="00906094"/>
    <w:rsid w:val="009066CC"/>
    <w:rsid w:val="00906BDA"/>
    <w:rsid w:val="00906FB3"/>
    <w:rsid w:val="0090754A"/>
    <w:rsid w:val="00907BEA"/>
    <w:rsid w:val="00907FC4"/>
    <w:rsid w:val="00910B34"/>
    <w:rsid w:val="00911049"/>
    <w:rsid w:val="009121AA"/>
    <w:rsid w:val="009132ED"/>
    <w:rsid w:val="0091533D"/>
    <w:rsid w:val="0091543A"/>
    <w:rsid w:val="00915E85"/>
    <w:rsid w:val="00916075"/>
    <w:rsid w:val="00916128"/>
    <w:rsid w:val="00916210"/>
    <w:rsid w:val="00916C5C"/>
    <w:rsid w:val="00920436"/>
    <w:rsid w:val="00921643"/>
    <w:rsid w:val="0092178B"/>
    <w:rsid w:val="00921A94"/>
    <w:rsid w:val="00921CDE"/>
    <w:rsid w:val="00922049"/>
    <w:rsid w:val="00922CF4"/>
    <w:rsid w:val="00922DE1"/>
    <w:rsid w:val="00922DE9"/>
    <w:rsid w:val="00922E98"/>
    <w:rsid w:val="00923CB8"/>
    <w:rsid w:val="00926C7F"/>
    <w:rsid w:val="00926CF0"/>
    <w:rsid w:val="00930298"/>
    <w:rsid w:val="00930433"/>
    <w:rsid w:val="009306C0"/>
    <w:rsid w:val="00930D87"/>
    <w:rsid w:val="0093162B"/>
    <w:rsid w:val="00931C25"/>
    <w:rsid w:val="009321A6"/>
    <w:rsid w:val="009321B3"/>
    <w:rsid w:val="009326B0"/>
    <w:rsid w:val="009327A5"/>
    <w:rsid w:val="009327BF"/>
    <w:rsid w:val="00933CEF"/>
    <w:rsid w:val="00933F13"/>
    <w:rsid w:val="0093447A"/>
    <w:rsid w:val="009361DB"/>
    <w:rsid w:val="0094000C"/>
    <w:rsid w:val="0094084A"/>
    <w:rsid w:val="0094165E"/>
    <w:rsid w:val="0094181D"/>
    <w:rsid w:val="00944318"/>
    <w:rsid w:val="00944BAF"/>
    <w:rsid w:val="009458C0"/>
    <w:rsid w:val="00946EE7"/>
    <w:rsid w:val="009475D7"/>
    <w:rsid w:val="00950CC9"/>
    <w:rsid w:val="00951197"/>
    <w:rsid w:val="00951A67"/>
    <w:rsid w:val="009521CA"/>
    <w:rsid w:val="00952CC4"/>
    <w:rsid w:val="00952DE4"/>
    <w:rsid w:val="0095307B"/>
    <w:rsid w:val="00953626"/>
    <w:rsid w:val="00954AF0"/>
    <w:rsid w:val="00954DA9"/>
    <w:rsid w:val="009555C0"/>
    <w:rsid w:val="009559D8"/>
    <w:rsid w:val="00956004"/>
    <w:rsid w:val="00956C53"/>
    <w:rsid w:val="00956F5C"/>
    <w:rsid w:val="00960346"/>
    <w:rsid w:val="00960AE0"/>
    <w:rsid w:val="009626FB"/>
    <w:rsid w:val="009658F9"/>
    <w:rsid w:val="00966682"/>
    <w:rsid w:val="00966805"/>
    <w:rsid w:val="009703D0"/>
    <w:rsid w:val="00970B97"/>
    <w:rsid w:val="00970BA1"/>
    <w:rsid w:val="00970C9F"/>
    <w:rsid w:val="009731B9"/>
    <w:rsid w:val="009738A7"/>
    <w:rsid w:val="009738D0"/>
    <w:rsid w:val="009741DC"/>
    <w:rsid w:val="009768EE"/>
    <w:rsid w:val="00977BC9"/>
    <w:rsid w:val="0098230D"/>
    <w:rsid w:val="0098242F"/>
    <w:rsid w:val="00982B21"/>
    <w:rsid w:val="00982C06"/>
    <w:rsid w:val="0098451E"/>
    <w:rsid w:val="00985095"/>
    <w:rsid w:val="00985E8D"/>
    <w:rsid w:val="00990877"/>
    <w:rsid w:val="00990A5A"/>
    <w:rsid w:val="00991FC5"/>
    <w:rsid w:val="00992463"/>
    <w:rsid w:val="009929BF"/>
    <w:rsid w:val="00992EF2"/>
    <w:rsid w:val="00995AF6"/>
    <w:rsid w:val="00996A4C"/>
    <w:rsid w:val="009975CA"/>
    <w:rsid w:val="00997DE2"/>
    <w:rsid w:val="009A074C"/>
    <w:rsid w:val="009A0DEE"/>
    <w:rsid w:val="009A14CF"/>
    <w:rsid w:val="009A1673"/>
    <w:rsid w:val="009A2502"/>
    <w:rsid w:val="009A3412"/>
    <w:rsid w:val="009A3638"/>
    <w:rsid w:val="009A488D"/>
    <w:rsid w:val="009A6668"/>
    <w:rsid w:val="009A6D46"/>
    <w:rsid w:val="009A72F9"/>
    <w:rsid w:val="009A738A"/>
    <w:rsid w:val="009A786B"/>
    <w:rsid w:val="009B130B"/>
    <w:rsid w:val="009B13F4"/>
    <w:rsid w:val="009B165C"/>
    <w:rsid w:val="009B2432"/>
    <w:rsid w:val="009B2537"/>
    <w:rsid w:val="009B2B6D"/>
    <w:rsid w:val="009B311D"/>
    <w:rsid w:val="009B4016"/>
    <w:rsid w:val="009B4353"/>
    <w:rsid w:val="009B51F3"/>
    <w:rsid w:val="009B5D89"/>
    <w:rsid w:val="009B6434"/>
    <w:rsid w:val="009B6675"/>
    <w:rsid w:val="009C24AB"/>
    <w:rsid w:val="009C3677"/>
    <w:rsid w:val="009C3832"/>
    <w:rsid w:val="009C517D"/>
    <w:rsid w:val="009C51C5"/>
    <w:rsid w:val="009C53FB"/>
    <w:rsid w:val="009C5750"/>
    <w:rsid w:val="009C5B22"/>
    <w:rsid w:val="009C7DB5"/>
    <w:rsid w:val="009D081B"/>
    <w:rsid w:val="009D0B39"/>
    <w:rsid w:val="009D3A28"/>
    <w:rsid w:val="009D41A2"/>
    <w:rsid w:val="009D4A28"/>
    <w:rsid w:val="009D5BA8"/>
    <w:rsid w:val="009D6A5B"/>
    <w:rsid w:val="009D6FFA"/>
    <w:rsid w:val="009D79C5"/>
    <w:rsid w:val="009D7CD7"/>
    <w:rsid w:val="009D7E04"/>
    <w:rsid w:val="009E027B"/>
    <w:rsid w:val="009E0BC7"/>
    <w:rsid w:val="009E0DC6"/>
    <w:rsid w:val="009E1ED8"/>
    <w:rsid w:val="009E37D7"/>
    <w:rsid w:val="009E3FB2"/>
    <w:rsid w:val="009E41E6"/>
    <w:rsid w:val="009E5C42"/>
    <w:rsid w:val="009E742D"/>
    <w:rsid w:val="009F13E1"/>
    <w:rsid w:val="009F3316"/>
    <w:rsid w:val="009F340A"/>
    <w:rsid w:val="009F36BA"/>
    <w:rsid w:val="009F36D4"/>
    <w:rsid w:val="009F3729"/>
    <w:rsid w:val="009F4130"/>
    <w:rsid w:val="009F41A4"/>
    <w:rsid w:val="009F55AB"/>
    <w:rsid w:val="009F5E2B"/>
    <w:rsid w:val="00A00636"/>
    <w:rsid w:val="00A007DE"/>
    <w:rsid w:val="00A03AD3"/>
    <w:rsid w:val="00A04B78"/>
    <w:rsid w:val="00A05451"/>
    <w:rsid w:val="00A05491"/>
    <w:rsid w:val="00A100D3"/>
    <w:rsid w:val="00A10B55"/>
    <w:rsid w:val="00A1126E"/>
    <w:rsid w:val="00A11523"/>
    <w:rsid w:val="00A1164D"/>
    <w:rsid w:val="00A11E10"/>
    <w:rsid w:val="00A11EC7"/>
    <w:rsid w:val="00A161E5"/>
    <w:rsid w:val="00A162CE"/>
    <w:rsid w:val="00A17AF6"/>
    <w:rsid w:val="00A17E91"/>
    <w:rsid w:val="00A17E95"/>
    <w:rsid w:val="00A17E9E"/>
    <w:rsid w:val="00A17F00"/>
    <w:rsid w:val="00A203B8"/>
    <w:rsid w:val="00A207A5"/>
    <w:rsid w:val="00A20955"/>
    <w:rsid w:val="00A209A1"/>
    <w:rsid w:val="00A20E55"/>
    <w:rsid w:val="00A21337"/>
    <w:rsid w:val="00A21ADA"/>
    <w:rsid w:val="00A220E0"/>
    <w:rsid w:val="00A223BD"/>
    <w:rsid w:val="00A2246C"/>
    <w:rsid w:val="00A23D89"/>
    <w:rsid w:val="00A24B87"/>
    <w:rsid w:val="00A24DA1"/>
    <w:rsid w:val="00A2563A"/>
    <w:rsid w:val="00A25C04"/>
    <w:rsid w:val="00A25C28"/>
    <w:rsid w:val="00A27D6E"/>
    <w:rsid w:val="00A305C5"/>
    <w:rsid w:val="00A313F3"/>
    <w:rsid w:val="00A316CD"/>
    <w:rsid w:val="00A32527"/>
    <w:rsid w:val="00A325AF"/>
    <w:rsid w:val="00A32920"/>
    <w:rsid w:val="00A3366B"/>
    <w:rsid w:val="00A36F0F"/>
    <w:rsid w:val="00A37383"/>
    <w:rsid w:val="00A37A32"/>
    <w:rsid w:val="00A40B1C"/>
    <w:rsid w:val="00A40FE8"/>
    <w:rsid w:val="00A41161"/>
    <w:rsid w:val="00A42E2E"/>
    <w:rsid w:val="00A43106"/>
    <w:rsid w:val="00A44958"/>
    <w:rsid w:val="00A44AAA"/>
    <w:rsid w:val="00A44B77"/>
    <w:rsid w:val="00A4599C"/>
    <w:rsid w:val="00A45B93"/>
    <w:rsid w:val="00A46728"/>
    <w:rsid w:val="00A46A50"/>
    <w:rsid w:val="00A46E3C"/>
    <w:rsid w:val="00A46EE9"/>
    <w:rsid w:val="00A47299"/>
    <w:rsid w:val="00A472D5"/>
    <w:rsid w:val="00A47E67"/>
    <w:rsid w:val="00A47FDE"/>
    <w:rsid w:val="00A50693"/>
    <w:rsid w:val="00A51887"/>
    <w:rsid w:val="00A52BD1"/>
    <w:rsid w:val="00A52E7A"/>
    <w:rsid w:val="00A53001"/>
    <w:rsid w:val="00A53586"/>
    <w:rsid w:val="00A53F7D"/>
    <w:rsid w:val="00A55526"/>
    <w:rsid w:val="00A5684F"/>
    <w:rsid w:val="00A5696B"/>
    <w:rsid w:val="00A56A02"/>
    <w:rsid w:val="00A57CAD"/>
    <w:rsid w:val="00A604A3"/>
    <w:rsid w:val="00A6070F"/>
    <w:rsid w:val="00A627FF"/>
    <w:rsid w:val="00A62F5E"/>
    <w:rsid w:val="00A63C72"/>
    <w:rsid w:val="00A6426B"/>
    <w:rsid w:val="00A64E15"/>
    <w:rsid w:val="00A6514B"/>
    <w:rsid w:val="00A652D2"/>
    <w:rsid w:val="00A65404"/>
    <w:rsid w:val="00A65619"/>
    <w:rsid w:val="00A66608"/>
    <w:rsid w:val="00A677DC"/>
    <w:rsid w:val="00A67B84"/>
    <w:rsid w:val="00A70445"/>
    <w:rsid w:val="00A70B96"/>
    <w:rsid w:val="00A710B8"/>
    <w:rsid w:val="00A72348"/>
    <w:rsid w:val="00A73A46"/>
    <w:rsid w:val="00A73C98"/>
    <w:rsid w:val="00A752EC"/>
    <w:rsid w:val="00A76B4D"/>
    <w:rsid w:val="00A7710C"/>
    <w:rsid w:val="00A77775"/>
    <w:rsid w:val="00A777A8"/>
    <w:rsid w:val="00A77961"/>
    <w:rsid w:val="00A77DB7"/>
    <w:rsid w:val="00A80162"/>
    <w:rsid w:val="00A8035A"/>
    <w:rsid w:val="00A810B0"/>
    <w:rsid w:val="00A8140C"/>
    <w:rsid w:val="00A81B63"/>
    <w:rsid w:val="00A81F68"/>
    <w:rsid w:val="00A8205A"/>
    <w:rsid w:val="00A8206D"/>
    <w:rsid w:val="00A82BDA"/>
    <w:rsid w:val="00A8479E"/>
    <w:rsid w:val="00A85149"/>
    <w:rsid w:val="00A8646D"/>
    <w:rsid w:val="00A86F76"/>
    <w:rsid w:val="00A90422"/>
    <w:rsid w:val="00A90A46"/>
    <w:rsid w:val="00A91065"/>
    <w:rsid w:val="00A915BA"/>
    <w:rsid w:val="00A91625"/>
    <w:rsid w:val="00A91A08"/>
    <w:rsid w:val="00A9255F"/>
    <w:rsid w:val="00A92ABA"/>
    <w:rsid w:val="00A95B2E"/>
    <w:rsid w:val="00A960DD"/>
    <w:rsid w:val="00A96DAE"/>
    <w:rsid w:val="00A97625"/>
    <w:rsid w:val="00A97E9B"/>
    <w:rsid w:val="00AA0114"/>
    <w:rsid w:val="00AA020F"/>
    <w:rsid w:val="00AA0BBC"/>
    <w:rsid w:val="00AA254E"/>
    <w:rsid w:val="00AA36AE"/>
    <w:rsid w:val="00AA36E4"/>
    <w:rsid w:val="00AA3935"/>
    <w:rsid w:val="00AA3A8C"/>
    <w:rsid w:val="00AA41CD"/>
    <w:rsid w:val="00AA4A25"/>
    <w:rsid w:val="00AA55F9"/>
    <w:rsid w:val="00AA5CD7"/>
    <w:rsid w:val="00AA7355"/>
    <w:rsid w:val="00AB0DF0"/>
    <w:rsid w:val="00AB0EBD"/>
    <w:rsid w:val="00AB2256"/>
    <w:rsid w:val="00AB2441"/>
    <w:rsid w:val="00AB3AEE"/>
    <w:rsid w:val="00AB440E"/>
    <w:rsid w:val="00AB5195"/>
    <w:rsid w:val="00AB676F"/>
    <w:rsid w:val="00AB6B66"/>
    <w:rsid w:val="00AB6C69"/>
    <w:rsid w:val="00AC0A6E"/>
    <w:rsid w:val="00AC0D8E"/>
    <w:rsid w:val="00AC0E6C"/>
    <w:rsid w:val="00AC137F"/>
    <w:rsid w:val="00AC2124"/>
    <w:rsid w:val="00AC213A"/>
    <w:rsid w:val="00AC379D"/>
    <w:rsid w:val="00AC5517"/>
    <w:rsid w:val="00AC56F1"/>
    <w:rsid w:val="00AC5CC4"/>
    <w:rsid w:val="00AC6CBF"/>
    <w:rsid w:val="00AC71DA"/>
    <w:rsid w:val="00AD1483"/>
    <w:rsid w:val="00AD2034"/>
    <w:rsid w:val="00AD257A"/>
    <w:rsid w:val="00AD2C68"/>
    <w:rsid w:val="00AD44C0"/>
    <w:rsid w:val="00AD4AE9"/>
    <w:rsid w:val="00AD5225"/>
    <w:rsid w:val="00AD5CED"/>
    <w:rsid w:val="00AD632A"/>
    <w:rsid w:val="00AD77E8"/>
    <w:rsid w:val="00AD7960"/>
    <w:rsid w:val="00AD7B34"/>
    <w:rsid w:val="00AD7FC3"/>
    <w:rsid w:val="00AE0564"/>
    <w:rsid w:val="00AE09B8"/>
    <w:rsid w:val="00AE0B9B"/>
    <w:rsid w:val="00AE0BAB"/>
    <w:rsid w:val="00AE1E6C"/>
    <w:rsid w:val="00AE2217"/>
    <w:rsid w:val="00AE26C9"/>
    <w:rsid w:val="00AE3B1A"/>
    <w:rsid w:val="00AE4136"/>
    <w:rsid w:val="00AE5FDF"/>
    <w:rsid w:val="00AE6423"/>
    <w:rsid w:val="00AF01B2"/>
    <w:rsid w:val="00AF07CC"/>
    <w:rsid w:val="00AF11FE"/>
    <w:rsid w:val="00AF13A5"/>
    <w:rsid w:val="00AF1475"/>
    <w:rsid w:val="00AF1EF6"/>
    <w:rsid w:val="00AF244C"/>
    <w:rsid w:val="00AF3500"/>
    <w:rsid w:val="00AF35B3"/>
    <w:rsid w:val="00AF3734"/>
    <w:rsid w:val="00AF3DDC"/>
    <w:rsid w:val="00AF4663"/>
    <w:rsid w:val="00AF595D"/>
    <w:rsid w:val="00AF6616"/>
    <w:rsid w:val="00AF79FB"/>
    <w:rsid w:val="00B006D5"/>
    <w:rsid w:val="00B00766"/>
    <w:rsid w:val="00B03EE9"/>
    <w:rsid w:val="00B03F99"/>
    <w:rsid w:val="00B03FB2"/>
    <w:rsid w:val="00B04636"/>
    <w:rsid w:val="00B046E5"/>
    <w:rsid w:val="00B057F1"/>
    <w:rsid w:val="00B05B71"/>
    <w:rsid w:val="00B05C9D"/>
    <w:rsid w:val="00B06636"/>
    <w:rsid w:val="00B06E03"/>
    <w:rsid w:val="00B07314"/>
    <w:rsid w:val="00B10B5F"/>
    <w:rsid w:val="00B114CC"/>
    <w:rsid w:val="00B1218B"/>
    <w:rsid w:val="00B12940"/>
    <w:rsid w:val="00B138AA"/>
    <w:rsid w:val="00B14166"/>
    <w:rsid w:val="00B14572"/>
    <w:rsid w:val="00B15588"/>
    <w:rsid w:val="00B15755"/>
    <w:rsid w:val="00B20609"/>
    <w:rsid w:val="00B21F13"/>
    <w:rsid w:val="00B22DA8"/>
    <w:rsid w:val="00B2423A"/>
    <w:rsid w:val="00B245E2"/>
    <w:rsid w:val="00B267A1"/>
    <w:rsid w:val="00B3004E"/>
    <w:rsid w:val="00B30F99"/>
    <w:rsid w:val="00B31291"/>
    <w:rsid w:val="00B317A2"/>
    <w:rsid w:val="00B317D7"/>
    <w:rsid w:val="00B31A19"/>
    <w:rsid w:val="00B31E4E"/>
    <w:rsid w:val="00B32A9A"/>
    <w:rsid w:val="00B32F96"/>
    <w:rsid w:val="00B33113"/>
    <w:rsid w:val="00B3347A"/>
    <w:rsid w:val="00B338F5"/>
    <w:rsid w:val="00B342C6"/>
    <w:rsid w:val="00B34309"/>
    <w:rsid w:val="00B3443D"/>
    <w:rsid w:val="00B34553"/>
    <w:rsid w:val="00B34D2B"/>
    <w:rsid w:val="00B34D37"/>
    <w:rsid w:val="00B36256"/>
    <w:rsid w:val="00B36386"/>
    <w:rsid w:val="00B365BD"/>
    <w:rsid w:val="00B37305"/>
    <w:rsid w:val="00B375CB"/>
    <w:rsid w:val="00B408E2"/>
    <w:rsid w:val="00B415C1"/>
    <w:rsid w:val="00B41D75"/>
    <w:rsid w:val="00B43095"/>
    <w:rsid w:val="00B43AB2"/>
    <w:rsid w:val="00B44F0A"/>
    <w:rsid w:val="00B460E7"/>
    <w:rsid w:val="00B46E52"/>
    <w:rsid w:val="00B47734"/>
    <w:rsid w:val="00B478D0"/>
    <w:rsid w:val="00B47BE5"/>
    <w:rsid w:val="00B47E78"/>
    <w:rsid w:val="00B50618"/>
    <w:rsid w:val="00B5062E"/>
    <w:rsid w:val="00B50676"/>
    <w:rsid w:val="00B507A9"/>
    <w:rsid w:val="00B50D06"/>
    <w:rsid w:val="00B525C3"/>
    <w:rsid w:val="00B549A4"/>
    <w:rsid w:val="00B54D05"/>
    <w:rsid w:val="00B54E99"/>
    <w:rsid w:val="00B550D8"/>
    <w:rsid w:val="00B56189"/>
    <w:rsid w:val="00B5722A"/>
    <w:rsid w:val="00B57619"/>
    <w:rsid w:val="00B609E8"/>
    <w:rsid w:val="00B61BFD"/>
    <w:rsid w:val="00B61EBD"/>
    <w:rsid w:val="00B62F4E"/>
    <w:rsid w:val="00B632AC"/>
    <w:rsid w:val="00B63626"/>
    <w:rsid w:val="00B63821"/>
    <w:rsid w:val="00B63B82"/>
    <w:rsid w:val="00B648E8"/>
    <w:rsid w:val="00B65F1C"/>
    <w:rsid w:val="00B667C8"/>
    <w:rsid w:val="00B66E4B"/>
    <w:rsid w:val="00B671E2"/>
    <w:rsid w:val="00B67E39"/>
    <w:rsid w:val="00B70CFF"/>
    <w:rsid w:val="00B712B0"/>
    <w:rsid w:val="00B7176B"/>
    <w:rsid w:val="00B718F6"/>
    <w:rsid w:val="00B71A7C"/>
    <w:rsid w:val="00B71B34"/>
    <w:rsid w:val="00B71C13"/>
    <w:rsid w:val="00B72650"/>
    <w:rsid w:val="00B74033"/>
    <w:rsid w:val="00B754C9"/>
    <w:rsid w:val="00B75D58"/>
    <w:rsid w:val="00B803AE"/>
    <w:rsid w:val="00B811B7"/>
    <w:rsid w:val="00B8185B"/>
    <w:rsid w:val="00B81B8F"/>
    <w:rsid w:val="00B81C74"/>
    <w:rsid w:val="00B81FBD"/>
    <w:rsid w:val="00B82496"/>
    <w:rsid w:val="00B82622"/>
    <w:rsid w:val="00B82B19"/>
    <w:rsid w:val="00B82F0C"/>
    <w:rsid w:val="00B835E0"/>
    <w:rsid w:val="00B837FB"/>
    <w:rsid w:val="00B8437B"/>
    <w:rsid w:val="00B8437D"/>
    <w:rsid w:val="00B848E9"/>
    <w:rsid w:val="00B84A43"/>
    <w:rsid w:val="00B84A54"/>
    <w:rsid w:val="00B865C9"/>
    <w:rsid w:val="00B8690D"/>
    <w:rsid w:val="00B86D02"/>
    <w:rsid w:val="00B90856"/>
    <w:rsid w:val="00B91D4C"/>
    <w:rsid w:val="00B92770"/>
    <w:rsid w:val="00B93333"/>
    <w:rsid w:val="00B937C0"/>
    <w:rsid w:val="00B93C46"/>
    <w:rsid w:val="00B94D41"/>
    <w:rsid w:val="00B95B87"/>
    <w:rsid w:val="00B95FDB"/>
    <w:rsid w:val="00B96608"/>
    <w:rsid w:val="00B96EB2"/>
    <w:rsid w:val="00B9776C"/>
    <w:rsid w:val="00BA0363"/>
    <w:rsid w:val="00BA03FF"/>
    <w:rsid w:val="00BA056A"/>
    <w:rsid w:val="00BA06E0"/>
    <w:rsid w:val="00BA0B6E"/>
    <w:rsid w:val="00BA10F5"/>
    <w:rsid w:val="00BA2AAA"/>
    <w:rsid w:val="00BA2D77"/>
    <w:rsid w:val="00BA376D"/>
    <w:rsid w:val="00BA518D"/>
    <w:rsid w:val="00BA5717"/>
    <w:rsid w:val="00BA5BDA"/>
    <w:rsid w:val="00BA627B"/>
    <w:rsid w:val="00BB0340"/>
    <w:rsid w:val="00BB0357"/>
    <w:rsid w:val="00BB07FC"/>
    <w:rsid w:val="00BB2401"/>
    <w:rsid w:val="00BB2793"/>
    <w:rsid w:val="00BB38B9"/>
    <w:rsid w:val="00BB3F00"/>
    <w:rsid w:val="00BB41BE"/>
    <w:rsid w:val="00BB466E"/>
    <w:rsid w:val="00BB46D3"/>
    <w:rsid w:val="00BB492D"/>
    <w:rsid w:val="00BB5CFA"/>
    <w:rsid w:val="00BB6114"/>
    <w:rsid w:val="00BB6A85"/>
    <w:rsid w:val="00BB6CC1"/>
    <w:rsid w:val="00BB6EE6"/>
    <w:rsid w:val="00BB734E"/>
    <w:rsid w:val="00BB7A22"/>
    <w:rsid w:val="00BC07AA"/>
    <w:rsid w:val="00BC09B0"/>
    <w:rsid w:val="00BC14F1"/>
    <w:rsid w:val="00BC1AE2"/>
    <w:rsid w:val="00BC4207"/>
    <w:rsid w:val="00BC436A"/>
    <w:rsid w:val="00BC444D"/>
    <w:rsid w:val="00BC5408"/>
    <w:rsid w:val="00BC6310"/>
    <w:rsid w:val="00BC6718"/>
    <w:rsid w:val="00BC6B4C"/>
    <w:rsid w:val="00BC7A5D"/>
    <w:rsid w:val="00BC7B2C"/>
    <w:rsid w:val="00BD00D3"/>
    <w:rsid w:val="00BD0DA4"/>
    <w:rsid w:val="00BD0E39"/>
    <w:rsid w:val="00BD0F03"/>
    <w:rsid w:val="00BD2372"/>
    <w:rsid w:val="00BD2ED6"/>
    <w:rsid w:val="00BD3A38"/>
    <w:rsid w:val="00BD4110"/>
    <w:rsid w:val="00BD4559"/>
    <w:rsid w:val="00BD4CB5"/>
    <w:rsid w:val="00BD4D78"/>
    <w:rsid w:val="00BD4F52"/>
    <w:rsid w:val="00BD5021"/>
    <w:rsid w:val="00BD7690"/>
    <w:rsid w:val="00BE01BE"/>
    <w:rsid w:val="00BE14F9"/>
    <w:rsid w:val="00BE38F2"/>
    <w:rsid w:val="00BE4880"/>
    <w:rsid w:val="00BE50C5"/>
    <w:rsid w:val="00BE5274"/>
    <w:rsid w:val="00BE536A"/>
    <w:rsid w:val="00BE6821"/>
    <w:rsid w:val="00BF0DC3"/>
    <w:rsid w:val="00BF1564"/>
    <w:rsid w:val="00BF15D5"/>
    <w:rsid w:val="00BF17E1"/>
    <w:rsid w:val="00BF202A"/>
    <w:rsid w:val="00BF22E9"/>
    <w:rsid w:val="00BF2906"/>
    <w:rsid w:val="00BF37E4"/>
    <w:rsid w:val="00BF3B2E"/>
    <w:rsid w:val="00BF5636"/>
    <w:rsid w:val="00BF76F8"/>
    <w:rsid w:val="00BF7F79"/>
    <w:rsid w:val="00C00B69"/>
    <w:rsid w:val="00C00FA7"/>
    <w:rsid w:val="00C0124D"/>
    <w:rsid w:val="00C036BC"/>
    <w:rsid w:val="00C0412C"/>
    <w:rsid w:val="00C048EA"/>
    <w:rsid w:val="00C049F4"/>
    <w:rsid w:val="00C04C5F"/>
    <w:rsid w:val="00C04F1D"/>
    <w:rsid w:val="00C050B0"/>
    <w:rsid w:val="00C0519E"/>
    <w:rsid w:val="00C0616C"/>
    <w:rsid w:val="00C06441"/>
    <w:rsid w:val="00C07A5C"/>
    <w:rsid w:val="00C100B5"/>
    <w:rsid w:val="00C11D71"/>
    <w:rsid w:val="00C1200B"/>
    <w:rsid w:val="00C14E36"/>
    <w:rsid w:val="00C15DF7"/>
    <w:rsid w:val="00C16443"/>
    <w:rsid w:val="00C1681B"/>
    <w:rsid w:val="00C16EC8"/>
    <w:rsid w:val="00C17C13"/>
    <w:rsid w:val="00C20189"/>
    <w:rsid w:val="00C20710"/>
    <w:rsid w:val="00C20D14"/>
    <w:rsid w:val="00C21DDD"/>
    <w:rsid w:val="00C23B53"/>
    <w:rsid w:val="00C2605C"/>
    <w:rsid w:val="00C260D2"/>
    <w:rsid w:val="00C2699D"/>
    <w:rsid w:val="00C26F6A"/>
    <w:rsid w:val="00C2753A"/>
    <w:rsid w:val="00C27E7B"/>
    <w:rsid w:val="00C30702"/>
    <w:rsid w:val="00C31208"/>
    <w:rsid w:val="00C3234D"/>
    <w:rsid w:val="00C32648"/>
    <w:rsid w:val="00C32B41"/>
    <w:rsid w:val="00C3464C"/>
    <w:rsid w:val="00C3464F"/>
    <w:rsid w:val="00C3713F"/>
    <w:rsid w:val="00C37C41"/>
    <w:rsid w:val="00C404FD"/>
    <w:rsid w:val="00C40508"/>
    <w:rsid w:val="00C409E5"/>
    <w:rsid w:val="00C40AE9"/>
    <w:rsid w:val="00C41755"/>
    <w:rsid w:val="00C4277A"/>
    <w:rsid w:val="00C42D42"/>
    <w:rsid w:val="00C446E3"/>
    <w:rsid w:val="00C44D4A"/>
    <w:rsid w:val="00C44D59"/>
    <w:rsid w:val="00C45737"/>
    <w:rsid w:val="00C46062"/>
    <w:rsid w:val="00C464F1"/>
    <w:rsid w:val="00C46DE1"/>
    <w:rsid w:val="00C46F8F"/>
    <w:rsid w:val="00C478FC"/>
    <w:rsid w:val="00C47E22"/>
    <w:rsid w:val="00C51993"/>
    <w:rsid w:val="00C51C78"/>
    <w:rsid w:val="00C51D11"/>
    <w:rsid w:val="00C52D51"/>
    <w:rsid w:val="00C52DA7"/>
    <w:rsid w:val="00C52F04"/>
    <w:rsid w:val="00C52FC2"/>
    <w:rsid w:val="00C548BB"/>
    <w:rsid w:val="00C54ACF"/>
    <w:rsid w:val="00C55395"/>
    <w:rsid w:val="00C55E9E"/>
    <w:rsid w:val="00C561A0"/>
    <w:rsid w:val="00C57F05"/>
    <w:rsid w:val="00C6003F"/>
    <w:rsid w:val="00C604B0"/>
    <w:rsid w:val="00C612FD"/>
    <w:rsid w:val="00C620DF"/>
    <w:rsid w:val="00C62753"/>
    <w:rsid w:val="00C629FD"/>
    <w:rsid w:val="00C62C16"/>
    <w:rsid w:val="00C62FB6"/>
    <w:rsid w:val="00C637A7"/>
    <w:rsid w:val="00C640FC"/>
    <w:rsid w:val="00C64ADE"/>
    <w:rsid w:val="00C658C2"/>
    <w:rsid w:val="00C66BF1"/>
    <w:rsid w:val="00C672AC"/>
    <w:rsid w:val="00C70000"/>
    <w:rsid w:val="00C707A5"/>
    <w:rsid w:val="00C718F2"/>
    <w:rsid w:val="00C72D24"/>
    <w:rsid w:val="00C72E66"/>
    <w:rsid w:val="00C736C7"/>
    <w:rsid w:val="00C740E4"/>
    <w:rsid w:val="00C74616"/>
    <w:rsid w:val="00C75666"/>
    <w:rsid w:val="00C75793"/>
    <w:rsid w:val="00C77697"/>
    <w:rsid w:val="00C8238B"/>
    <w:rsid w:val="00C828FB"/>
    <w:rsid w:val="00C8353D"/>
    <w:rsid w:val="00C84199"/>
    <w:rsid w:val="00C84811"/>
    <w:rsid w:val="00C84AAB"/>
    <w:rsid w:val="00C86529"/>
    <w:rsid w:val="00C87398"/>
    <w:rsid w:val="00C8753E"/>
    <w:rsid w:val="00C878FF"/>
    <w:rsid w:val="00C90FDB"/>
    <w:rsid w:val="00C91509"/>
    <w:rsid w:val="00C91564"/>
    <w:rsid w:val="00C91DE3"/>
    <w:rsid w:val="00C92470"/>
    <w:rsid w:val="00C92B74"/>
    <w:rsid w:val="00C934E0"/>
    <w:rsid w:val="00C94383"/>
    <w:rsid w:val="00C949EB"/>
    <w:rsid w:val="00C95483"/>
    <w:rsid w:val="00C95A99"/>
    <w:rsid w:val="00C975A2"/>
    <w:rsid w:val="00CA0412"/>
    <w:rsid w:val="00CA1CB0"/>
    <w:rsid w:val="00CA2E69"/>
    <w:rsid w:val="00CA39CD"/>
    <w:rsid w:val="00CA3B15"/>
    <w:rsid w:val="00CA4DAE"/>
    <w:rsid w:val="00CA5F1D"/>
    <w:rsid w:val="00CA60BB"/>
    <w:rsid w:val="00CA653C"/>
    <w:rsid w:val="00CA6A58"/>
    <w:rsid w:val="00CA6C99"/>
    <w:rsid w:val="00CA6EA1"/>
    <w:rsid w:val="00CB1D28"/>
    <w:rsid w:val="00CB2CAD"/>
    <w:rsid w:val="00CB4DA5"/>
    <w:rsid w:val="00CB5BDC"/>
    <w:rsid w:val="00CB779C"/>
    <w:rsid w:val="00CB7A68"/>
    <w:rsid w:val="00CB7DFA"/>
    <w:rsid w:val="00CC0948"/>
    <w:rsid w:val="00CC1E1B"/>
    <w:rsid w:val="00CC2917"/>
    <w:rsid w:val="00CC33A5"/>
    <w:rsid w:val="00CC46A0"/>
    <w:rsid w:val="00CC5F19"/>
    <w:rsid w:val="00CC6D6F"/>
    <w:rsid w:val="00CC6DA0"/>
    <w:rsid w:val="00CC7502"/>
    <w:rsid w:val="00CD074C"/>
    <w:rsid w:val="00CD0B6C"/>
    <w:rsid w:val="00CD11E1"/>
    <w:rsid w:val="00CD1D5E"/>
    <w:rsid w:val="00CD23CE"/>
    <w:rsid w:val="00CD3032"/>
    <w:rsid w:val="00CD3FCE"/>
    <w:rsid w:val="00CD5348"/>
    <w:rsid w:val="00CD58D9"/>
    <w:rsid w:val="00CD613B"/>
    <w:rsid w:val="00CE0619"/>
    <w:rsid w:val="00CE0BBB"/>
    <w:rsid w:val="00CE0C29"/>
    <w:rsid w:val="00CE138A"/>
    <w:rsid w:val="00CE186F"/>
    <w:rsid w:val="00CE2CBB"/>
    <w:rsid w:val="00CE413E"/>
    <w:rsid w:val="00CE553A"/>
    <w:rsid w:val="00CE57DE"/>
    <w:rsid w:val="00CE5F25"/>
    <w:rsid w:val="00CE60A7"/>
    <w:rsid w:val="00CE6C93"/>
    <w:rsid w:val="00CE7658"/>
    <w:rsid w:val="00CE784C"/>
    <w:rsid w:val="00CF23A6"/>
    <w:rsid w:val="00CF26B2"/>
    <w:rsid w:val="00CF43CC"/>
    <w:rsid w:val="00CF54D0"/>
    <w:rsid w:val="00CF5DF6"/>
    <w:rsid w:val="00CF6364"/>
    <w:rsid w:val="00CF6AE8"/>
    <w:rsid w:val="00CF6DA5"/>
    <w:rsid w:val="00CF7D12"/>
    <w:rsid w:val="00D011E3"/>
    <w:rsid w:val="00D01EBC"/>
    <w:rsid w:val="00D042B9"/>
    <w:rsid w:val="00D0536E"/>
    <w:rsid w:val="00D06C11"/>
    <w:rsid w:val="00D07115"/>
    <w:rsid w:val="00D07247"/>
    <w:rsid w:val="00D0730D"/>
    <w:rsid w:val="00D076A0"/>
    <w:rsid w:val="00D11583"/>
    <w:rsid w:val="00D138FD"/>
    <w:rsid w:val="00D13F29"/>
    <w:rsid w:val="00D14916"/>
    <w:rsid w:val="00D15FCB"/>
    <w:rsid w:val="00D162F1"/>
    <w:rsid w:val="00D162F5"/>
    <w:rsid w:val="00D17889"/>
    <w:rsid w:val="00D17B0D"/>
    <w:rsid w:val="00D20431"/>
    <w:rsid w:val="00D207C6"/>
    <w:rsid w:val="00D20B99"/>
    <w:rsid w:val="00D21D88"/>
    <w:rsid w:val="00D22EA1"/>
    <w:rsid w:val="00D239E8"/>
    <w:rsid w:val="00D23A2B"/>
    <w:rsid w:val="00D2496E"/>
    <w:rsid w:val="00D249EB"/>
    <w:rsid w:val="00D25482"/>
    <w:rsid w:val="00D2712F"/>
    <w:rsid w:val="00D275D1"/>
    <w:rsid w:val="00D27AA1"/>
    <w:rsid w:val="00D27E4F"/>
    <w:rsid w:val="00D30927"/>
    <w:rsid w:val="00D3139B"/>
    <w:rsid w:val="00D31D02"/>
    <w:rsid w:val="00D32CD1"/>
    <w:rsid w:val="00D332E7"/>
    <w:rsid w:val="00D33581"/>
    <w:rsid w:val="00D34225"/>
    <w:rsid w:val="00D35A49"/>
    <w:rsid w:val="00D35DDD"/>
    <w:rsid w:val="00D3635D"/>
    <w:rsid w:val="00D3648A"/>
    <w:rsid w:val="00D36911"/>
    <w:rsid w:val="00D370DF"/>
    <w:rsid w:val="00D37F03"/>
    <w:rsid w:val="00D40613"/>
    <w:rsid w:val="00D40DC9"/>
    <w:rsid w:val="00D40F9B"/>
    <w:rsid w:val="00D416CB"/>
    <w:rsid w:val="00D4304F"/>
    <w:rsid w:val="00D439D8"/>
    <w:rsid w:val="00D45A16"/>
    <w:rsid w:val="00D461EB"/>
    <w:rsid w:val="00D4689B"/>
    <w:rsid w:val="00D46939"/>
    <w:rsid w:val="00D4693F"/>
    <w:rsid w:val="00D47014"/>
    <w:rsid w:val="00D503BB"/>
    <w:rsid w:val="00D50AB7"/>
    <w:rsid w:val="00D5158B"/>
    <w:rsid w:val="00D52D98"/>
    <w:rsid w:val="00D5352B"/>
    <w:rsid w:val="00D544B7"/>
    <w:rsid w:val="00D54CF5"/>
    <w:rsid w:val="00D54FF0"/>
    <w:rsid w:val="00D55531"/>
    <w:rsid w:val="00D5648E"/>
    <w:rsid w:val="00D577B8"/>
    <w:rsid w:val="00D60108"/>
    <w:rsid w:val="00D60521"/>
    <w:rsid w:val="00D6076F"/>
    <w:rsid w:val="00D60778"/>
    <w:rsid w:val="00D61CEE"/>
    <w:rsid w:val="00D63E73"/>
    <w:rsid w:val="00D64CEF"/>
    <w:rsid w:val="00D651B9"/>
    <w:rsid w:val="00D657E0"/>
    <w:rsid w:val="00D65D2E"/>
    <w:rsid w:val="00D660E7"/>
    <w:rsid w:val="00D66237"/>
    <w:rsid w:val="00D67A10"/>
    <w:rsid w:val="00D67B75"/>
    <w:rsid w:val="00D7082C"/>
    <w:rsid w:val="00D709DE"/>
    <w:rsid w:val="00D71B1C"/>
    <w:rsid w:val="00D72CFE"/>
    <w:rsid w:val="00D733FB"/>
    <w:rsid w:val="00D739D4"/>
    <w:rsid w:val="00D7597C"/>
    <w:rsid w:val="00D773EC"/>
    <w:rsid w:val="00D7742A"/>
    <w:rsid w:val="00D7778D"/>
    <w:rsid w:val="00D77E14"/>
    <w:rsid w:val="00D81149"/>
    <w:rsid w:val="00D81714"/>
    <w:rsid w:val="00D83938"/>
    <w:rsid w:val="00D842C3"/>
    <w:rsid w:val="00D84739"/>
    <w:rsid w:val="00D851C6"/>
    <w:rsid w:val="00D85804"/>
    <w:rsid w:val="00D86368"/>
    <w:rsid w:val="00D86621"/>
    <w:rsid w:val="00D867DA"/>
    <w:rsid w:val="00D875D9"/>
    <w:rsid w:val="00D8764B"/>
    <w:rsid w:val="00D87BC9"/>
    <w:rsid w:val="00D90BE7"/>
    <w:rsid w:val="00D9193A"/>
    <w:rsid w:val="00D91960"/>
    <w:rsid w:val="00D91D70"/>
    <w:rsid w:val="00D92735"/>
    <w:rsid w:val="00D93279"/>
    <w:rsid w:val="00D936A8"/>
    <w:rsid w:val="00D94002"/>
    <w:rsid w:val="00D94171"/>
    <w:rsid w:val="00D94466"/>
    <w:rsid w:val="00D954E0"/>
    <w:rsid w:val="00D95B5A"/>
    <w:rsid w:val="00D96ED6"/>
    <w:rsid w:val="00D973A4"/>
    <w:rsid w:val="00D9784B"/>
    <w:rsid w:val="00DA02EA"/>
    <w:rsid w:val="00DA0681"/>
    <w:rsid w:val="00DA15C6"/>
    <w:rsid w:val="00DA1A6D"/>
    <w:rsid w:val="00DA1D72"/>
    <w:rsid w:val="00DA1D93"/>
    <w:rsid w:val="00DA1E4D"/>
    <w:rsid w:val="00DA28DD"/>
    <w:rsid w:val="00DA3532"/>
    <w:rsid w:val="00DA35AC"/>
    <w:rsid w:val="00DA361D"/>
    <w:rsid w:val="00DA3E10"/>
    <w:rsid w:val="00DA41EF"/>
    <w:rsid w:val="00DA45CE"/>
    <w:rsid w:val="00DA496B"/>
    <w:rsid w:val="00DA685C"/>
    <w:rsid w:val="00DA71B5"/>
    <w:rsid w:val="00DB0E61"/>
    <w:rsid w:val="00DB27E4"/>
    <w:rsid w:val="00DB2CCB"/>
    <w:rsid w:val="00DB3CFA"/>
    <w:rsid w:val="00DB50A0"/>
    <w:rsid w:val="00DB5E1C"/>
    <w:rsid w:val="00DB5F26"/>
    <w:rsid w:val="00DB7E47"/>
    <w:rsid w:val="00DC0002"/>
    <w:rsid w:val="00DC0403"/>
    <w:rsid w:val="00DC0474"/>
    <w:rsid w:val="00DC0CA4"/>
    <w:rsid w:val="00DC12DF"/>
    <w:rsid w:val="00DC1A51"/>
    <w:rsid w:val="00DC2871"/>
    <w:rsid w:val="00DC3B89"/>
    <w:rsid w:val="00DC44E9"/>
    <w:rsid w:val="00DC46D5"/>
    <w:rsid w:val="00DC5D85"/>
    <w:rsid w:val="00DC62C7"/>
    <w:rsid w:val="00DC6438"/>
    <w:rsid w:val="00DC713B"/>
    <w:rsid w:val="00DD022C"/>
    <w:rsid w:val="00DD0830"/>
    <w:rsid w:val="00DD1969"/>
    <w:rsid w:val="00DD19DD"/>
    <w:rsid w:val="00DD2542"/>
    <w:rsid w:val="00DD3399"/>
    <w:rsid w:val="00DD3411"/>
    <w:rsid w:val="00DD36E3"/>
    <w:rsid w:val="00DD39C4"/>
    <w:rsid w:val="00DD3C9C"/>
    <w:rsid w:val="00DD407D"/>
    <w:rsid w:val="00DD5341"/>
    <w:rsid w:val="00DD596D"/>
    <w:rsid w:val="00DD6DC0"/>
    <w:rsid w:val="00DD6DF5"/>
    <w:rsid w:val="00DD75B6"/>
    <w:rsid w:val="00DD77E5"/>
    <w:rsid w:val="00DD7FAC"/>
    <w:rsid w:val="00DE285A"/>
    <w:rsid w:val="00DE381C"/>
    <w:rsid w:val="00DE41D0"/>
    <w:rsid w:val="00DE5AD7"/>
    <w:rsid w:val="00DE5CB0"/>
    <w:rsid w:val="00DE5ECF"/>
    <w:rsid w:val="00DE6E8E"/>
    <w:rsid w:val="00DF164B"/>
    <w:rsid w:val="00DF18F2"/>
    <w:rsid w:val="00DF28FC"/>
    <w:rsid w:val="00DF2A7F"/>
    <w:rsid w:val="00DF310F"/>
    <w:rsid w:val="00DF572C"/>
    <w:rsid w:val="00DF5D11"/>
    <w:rsid w:val="00DF5E41"/>
    <w:rsid w:val="00DF7ACD"/>
    <w:rsid w:val="00E00D1F"/>
    <w:rsid w:val="00E00D29"/>
    <w:rsid w:val="00E03EFE"/>
    <w:rsid w:val="00E03F44"/>
    <w:rsid w:val="00E04648"/>
    <w:rsid w:val="00E04780"/>
    <w:rsid w:val="00E05AF7"/>
    <w:rsid w:val="00E061B5"/>
    <w:rsid w:val="00E06905"/>
    <w:rsid w:val="00E07051"/>
    <w:rsid w:val="00E07B5A"/>
    <w:rsid w:val="00E118F1"/>
    <w:rsid w:val="00E11E17"/>
    <w:rsid w:val="00E1393C"/>
    <w:rsid w:val="00E15FD9"/>
    <w:rsid w:val="00E16AFC"/>
    <w:rsid w:val="00E16C07"/>
    <w:rsid w:val="00E17264"/>
    <w:rsid w:val="00E17B74"/>
    <w:rsid w:val="00E20209"/>
    <w:rsid w:val="00E2025E"/>
    <w:rsid w:val="00E2057B"/>
    <w:rsid w:val="00E20AAB"/>
    <w:rsid w:val="00E216FF"/>
    <w:rsid w:val="00E21876"/>
    <w:rsid w:val="00E241D8"/>
    <w:rsid w:val="00E24A97"/>
    <w:rsid w:val="00E2519E"/>
    <w:rsid w:val="00E25776"/>
    <w:rsid w:val="00E266A1"/>
    <w:rsid w:val="00E26A57"/>
    <w:rsid w:val="00E300D7"/>
    <w:rsid w:val="00E30194"/>
    <w:rsid w:val="00E30E82"/>
    <w:rsid w:val="00E31646"/>
    <w:rsid w:val="00E319A0"/>
    <w:rsid w:val="00E35572"/>
    <w:rsid w:val="00E36353"/>
    <w:rsid w:val="00E40397"/>
    <w:rsid w:val="00E414C1"/>
    <w:rsid w:val="00E41A7A"/>
    <w:rsid w:val="00E426E1"/>
    <w:rsid w:val="00E4296B"/>
    <w:rsid w:val="00E446B2"/>
    <w:rsid w:val="00E44A36"/>
    <w:rsid w:val="00E44F81"/>
    <w:rsid w:val="00E44F8B"/>
    <w:rsid w:val="00E45998"/>
    <w:rsid w:val="00E46DB8"/>
    <w:rsid w:val="00E47029"/>
    <w:rsid w:val="00E47725"/>
    <w:rsid w:val="00E5004E"/>
    <w:rsid w:val="00E50ABC"/>
    <w:rsid w:val="00E51DCD"/>
    <w:rsid w:val="00E532BA"/>
    <w:rsid w:val="00E532FB"/>
    <w:rsid w:val="00E53402"/>
    <w:rsid w:val="00E5360F"/>
    <w:rsid w:val="00E53907"/>
    <w:rsid w:val="00E55319"/>
    <w:rsid w:val="00E55508"/>
    <w:rsid w:val="00E55EE8"/>
    <w:rsid w:val="00E57437"/>
    <w:rsid w:val="00E61527"/>
    <w:rsid w:val="00E61836"/>
    <w:rsid w:val="00E6270F"/>
    <w:rsid w:val="00E63405"/>
    <w:rsid w:val="00E64779"/>
    <w:rsid w:val="00E648ED"/>
    <w:rsid w:val="00E660B7"/>
    <w:rsid w:val="00E66EDC"/>
    <w:rsid w:val="00E67A31"/>
    <w:rsid w:val="00E702D0"/>
    <w:rsid w:val="00E7060C"/>
    <w:rsid w:val="00E70890"/>
    <w:rsid w:val="00E718DA"/>
    <w:rsid w:val="00E71A74"/>
    <w:rsid w:val="00E720C0"/>
    <w:rsid w:val="00E7220E"/>
    <w:rsid w:val="00E722F5"/>
    <w:rsid w:val="00E72605"/>
    <w:rsid w:val="00E73DA9"/>
    <w:rsid w:val="00E7478E"/>
    <w:rsid w:val="00E74B4D"/>
    <w:rsid w:val="00E74F0D"/>
    <w:rsid w:val="00E75122"/>
    <w:rsid w:val="00E76E18"/>
    <w:rsid w:val="00E77604"/>
    <w:rsid w:val="00E81C14"/>
    <w:rsid w:val="00E83537"/>
    <w:rsid w:val="00E83AC7"/>
    <w:rsid w:val="00E840DB"/>
    <w:rsid w:val="00E84721"/>
    <w:rsid w:val="00E85CCB"/>
    <w:rsid w:val="00E87D6F"/>
    <w:rsid w:val="00E9081D"/>
    <w:rsid w:val="00E9093D"/>
    <w:rsid w:val="00E90DA1"/>
    <w:rsid w:val="00E947B1"/>
    <w:rsid w:val="00E97E83"/>
    <w:rsid w:val="00EA000F"/>
    <w:rsid w:val="00EA1B07"/>
    <w:rsid w:val="00EA1D72"/>
    <w:rsid w:val="00EA21CE"/>
    <w:rsid w:val="00EA3896"/>
    <w:rsid w:val="00EA3CC6"/>
    <w:rsid w:val="00EA42AC"/>
    <w:rsid w:val="00EA4CE1"/>
    <w:rsid w:val="00EA53D1"/>
    <w:rsid w:val="00EA666C"/>
    <w:rsid w:val="00EA6781"/>
    <w:rsid w:val="00EA67A6"/>
    <w:rsid w:val="00EA7AC1"/>
    <w:rsid w:val="00EB059F"/>
    <w:rsid w:val="00EB0E96"/>
    <w:rsid w:val="00EB0E9F"/>
    <w:rsid w:val="00EB2CF6"/>
    <w:rsid w:val="00EB4765"/>
    <w:rsid w:val="00EB49D8"/>
    <w:rsid w:val="00EB4F87"/>
    <w:rsid w:val="00EB5E34"/>
    <w:rsid w:val="00EB6309"/>
    <w:rsid w:val="00EC04BC"/>
    <w:rsid w:val="00EC0F68"/>
    <w:rsid w:val="00EC1898"/>
    <w:rsid w:val="00EC18AA"/>
    <w:rsid w:val="00EC1B79"/>
    <w:rsid w:val="00EC33A9"/>
    <w:rsid w:val="00EC45A3"/>
    <w:rsid w:val="00EC47D8"/>
    <w:rsid w:val="00EC5030"/>
    <w:rsid w:val="00EC5313"/>
    <w:rsid w:val="00EC58AC"/>
    <w:rsid w:val="00EC6CB7"/>
    <w:rsid w:val="00EC7197"/>
    <w:rsid w:val="00EC78E5"/>
    <w:rsid w:val="00ED1F16"/>
    <w:rsid w:val="00ED1FAC"/>
    <w:rsid w:val="00ED37BB"/>
    <w:rsid w:val="00ED3933"/>
    <w:rsid w:val="00ED39D9"/>
    <w:rsid w:val="00ED48B5"/>
    <w:rsid w:val="00ED4A44"/>
    <w:rsid w:val="00ED4A7C"/>
    <w:rsid w:val="00ED52CE"/>
    <w:rsid w:val="00ED6AFC"/>
    <w:rsid w:val="00ED7E8A"/>
    <w:rsid w:val="00ED7F4A"/>
    <w:rsid w:val="00EE05FC"/>
    <w:rsid w:val="00EE0B70"/>
    <w:rsid w:val="00EE0FB5"/>
    <w:rsid w:val="00EE1192"/>
    <w:rsid w:val="00EE18BF"/>
    <w:rsid w:val="00EE1A74"/>
    <w:rsid w:val="00EE2E4C"/>
    <w:rsid w:val="00EE404F"/>
    <w:rsid w:val="00EE530A"/>
    <w:rsid w:val="00EE5F5D"/>
    <w:rsid w:val="00EE62D3"/>
    <w:rsid w:val="00EE65A6"/>
    <w:rsid w:val="00EE693E"/>
    <w:rsid w:val="00EF0017"/>
    <w:rsid w:val="00EF02FF"/>
    <w:rsid w:val="00EF0C56"/>
    <w:rsid w:val="00EF2955"/>
    <w:rsid w:val="00EF3F78"/>
    <w:rsid w:val="00EF4429"/>
    <w:rsid w:val="00EF5630"/>
    <w:rsid w:val="00EF5BC4"/>
    <w:rsid w:val="00EF5CF9"/>
    <w:rsid w:val="00EF68E3"/>
    <w:rsid w:val="00EF6D46"/>
    <w:rsid w:val="00EF7F0B"/>
    <w:rsid w:val="00F00A5A"/>
    <w:rsid w:val="00F0170B"/>
    <w:rsid w:val="00F0255D"/>
    <w:rsid w:val="00F06929"/>
    <w:rsid w:val="00F06C4F"/>
    <w:rsid w:val="00F102D3"/>
    <w:rsid w:val="00F113E7"/>
    <w:rsid w:val="00F119C0"/>
    <w:rsid w:val="00F11F42"/>
    <w:rsid w:val="00F12B59"/>
    <w:rsid w:val="00F12BA8"/>
    <w:rsid w:val="00F12EE2"/>
    <w:rsid w:val="00F13772"/>
    <w:rsid w:val="00F14756"/>
    <w:rsid w:val="00F152D0"/>
    <w:rsid w:val="00F15F63"/>
    <w:rsid w:val="00F165CB"/>
    <w:rsid w:val="00F17586"/>
    <w:rsid w:val="00F17B28"/>
    <w:rsid w:val="00F17B46"/>
    <w:rsid w:val="00F20921"/>
    <w:rsid w:val="00F21FE6"/>
    <w:rsid w:val="00F24AC8"/>
    <w:rsid w:val="00F2580C"/>
    <w:rsid w:val="00F261C9"/>
    <w:rsid w:val="00F2623F"/>
    <w:rsid w:val="00F266C0"/>
    <w:rsid w:val="00F26CD3"/>
    <w:rsid w:val="00F26E49"/>
    <w:rsid w:val="00F27026"/>
    <w:rsid w:val="00F27DBE"/>
    <w:rsid w:val="00F31BE0"/>
    <w:rsid w:val="00F320FA"/>
    <w:rsid w:val="00F3224C"/>
    <w:rsid w:val="00F32D6A"/>
    <w:rsid w:val="00F33B1D"/>
    <w:rsid w:val="00F33F59"/>
    <w:rsid w:val="00F34B51"/>
    <w:rsid w:val="00F34C0E"/>
    <w:rsid w:val="00F403F1"/>
    <w:rsid w:val="00F41C8A"/>
    <w:rsid w:val="00F41D79"/>
    <w:rsid w:val="00F4230C"/>
    <w:rsid w:val="00F42D6F"/>
    <w:rsid w:val="00F436EE"/>
    <w:rsid w:val="00F447E9"/>
    <w:rsid w:val="00F44AB8"/>
    <w:rsid w:val="00F44F59"/>
    <w:rsid w:val="00F44FA8"/>
    <w:rsid w:val="00F452DC"/>
    <w:rsid w:val="00F45884"/>
    <w:rsid w:val="00F45D17"/>
    <w:rsid w:val="00F46FA0"/>
    <w:rsid w:val="00F50FA7"/>
    <w:rsid w:val="00F511E6"/>
    <w:rsid w:val="00F53615"/>
    <w:rsid w:val="00F540C9"/>
    <w:rsid w:val="00F54484"/>
    <w:rsid w:val="00F54A6E"/>
    <w:rsid w:val="00F54B2C"/>
    <w:rsid w:val="00F552D4"/>
    <w:rsid w:val="00F55AC1"/>
    <w:rsid w:val="00F568F2"/>
    <w:rsid w:val="00F56B00"/>
    <w:rsid w:val="00F601D4"/>
    <w:rsid w:val="00F603E8"/>
    <w:rsid w:val="00F60421"/>
    <w:rsid w:val="00F61916"/>
    <w:rsid w:val="00F61AED"/>
    <w:rsid w:val="00F61CFD"/>
    <w:rsid w:val="00F61D2F"/>
    <w:rsid w:val="00F6306D"/>
    <w:rsid w:val="00F632B6"/>
    <w:rsid w:val="00F6549E"/>
    <w:rsid w:val="00F6665C"/>
    <w:rsid w:val="00F71BFC"/>
    <w:rsid w:val="00F71FD8"/>
    <w:rsid w:val="00F72E7A"/>
    <w:rsid w:val="00F7318B"/>
    <w:rsid w:val="00F7346B"/>
    <w:rsid w:val="00F73959"/>
    <w:rsid w:val="00F73B69"/>
    <w:rsid w:val="00F73E19"/>
    <w:rsid w:val="00F7438D"/>
    <w:rsid w:val="00F7596E"/>
    <w:rsid w:val="00F75D1F"/>
    <w:rsid w:val="00F75D9E"/>
    <w:rsid w:val="00F765A2"/>
    <w:rsid w:val="00F76C0D"/>
    <w:rsid w:val="00F76E9F"/>
    <w:rsid w:val="00F8004C"/>
    <w:rsid w:val="00F80294"/>
    <w:rsid w:val="00F81050"/>
    <w:rsid w:val="00F817B6"/>
    <w:rsid w:val="00F82EFC"/>
    <w:rsid w:val="00F8300C"/>
    <w:rsid w:val="00F85805"/>
    <w:rsid w:val="00F867B8"/>
    <w:rsid w:val="00F873AF"/>
    <w:rsid w:val="00F87441"/>
    <w:rsid w:val="00F87D70"/>
    <w:rsid w:val="00F87EA1"/>
    <w:rsid w:val="00F90167"/>
    <w:rsid w:val="00F90239"/>
    <w:rsid w:val="00F913FB"/>
    <w:rsid w:val="00F91543"/>
    <w:rsid w:val="00F916C4"/>
    <w:rsid w:val="00F91E10"/>
    <w:rsid w:val="00F92D6E"/>
    <w:rsid w:val="00F92FBE"/>
    <w:rsid w:val="00F93255"/>
    <w:rsid w:val="00F937E8"/>
    <w:rsid w:val="00F94941"/>
    <w:rsid w:val="00F958B5"/>
    <w:rsid w:val="00F96162"/>
    <w:rsid w:val="00F96541"/>
    <w:rsid w:val="00F9729E"/>
    <w:rsid w:val="00F973E1"/>
    <w:rsid w:val="00FA05C0"/>
    <w:rsid w:val="00FA109A"/>
    <w:rsid w:val="00FA194C"/>
    <w:rsid w:val="00FA1B78"/>
    <w:rsid w:val="00FA231B"/>
    <w:rsid w:val="00FA31C9"/>
    <w:rsid w:val="00FA4625"/>
    <w:rsid w:val="00FA49A2"/>
    <w:rsid w:val="00FA4F44"/>
    <w:rsid w:val="00FA5093"/>
    <w:rsid w:val="00FA5A28"/>
    <w:rsid w:val="00FA675F"/>
    <w:rsid w:val="00FA767D"/>
    <w:rsid w:val="00FB0922"/>
    <w:rsid w:val="00FB0EAA"/>
    <w:rsid w:val="00FB166E"/>
    <w:rsid w:val="00FB356A"/>
    <w:rsid w:val="00FB3AED"/>
    <w:rsid w:val="00FB431B"/>
    <w:rsid w:val="00FB4900"/>
    <w:rsid w:val="00FB5D95"/>
    <w:rsid w:val="00FB601A"/>
    <w:rsid w:val="00FB6379"/>
    <w:rsid w:val="00FB6ABC"/>
    <w:rsid w:val="00FC02AC"/>
    <w:rsid w:val="00FC083E"/>
    <w:rsid w:val="00FC13EC"/>
    <w:rsid w:val="00FC3232"/>
    <w:rsid w:val="00FC3A4D"/>
    <w:rsid w:val="00FC3C8D"/>
    <w:rsid w:val="00FC495E"/>
    <w:rsid w:val="00FC568C"/>
    <w:rsid w:val="00FC7003"/>
    <w:rsid w:val="00FD0481"/>
    <w:rsid w:val="00FD07AF"/>
    <w:rsid w:val="00FD0A18"/>
    <w:rsid w:val="00FD0BD0"/>
    <w:rsid w:val="00FD11EC"/>
    <w:rsid w:val="00FD1C01"/>
    <w:rsid w:val="00FD36D3"/>
    <w:rsid w:val="00FD388B"/>
    <w:rsid w:val="00FD3CF2"/>
    <w:rsid w:val="00FD4537"/>
    <w:rsid w:val="00FD4A45"/>
    <w:rsid w:val="00FD6FE8"/>
    <w:rsid w:val="00FE0225"/>
    <w:rsid w:val="00FE1B54"/>
    <w:rsid w:val="00FE308C"/>
    <w:rsid w:val="00FE3C22"/>
    <w:rsid w:val="00FE4396"/>
    <w:rsid w:val="00FE4837"/>
    <w:rsid w:val="00FE4C77"/>
    <w:rsid w:val="00FE6C5D"/>
    <w:rsid w:val="00FE7FA3"/>
    <w:rsid w:val="00FF06B4"/>
    <w:rsid w:val="00FF11A9"/>
    <w:rsid w:val="00FF338C"/>
    <w:rsid w:val="00FF3DA9"/>
    <w:rsid w:val="00FF3FE7"/>
    <w:rsid w:val="00FF5A1A"/>
    <w:rsid w:val="00FF6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21BE14"/>
  <w15:chartTrackingRefBased/>
  <w15:docId w15:val="{40234E69-A360-4C3E-AA96-E8CC5E913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7F7F7F" w:themeColor="text1" w:themeTint="80"/>
        <w:sz w:val="24"/>
        <w:szCs w:val="24"/>
        <w:lang w:val="en-US" w:eastAsia="ja-JP" w:bidi="ar-SA"/>
      </w:rPr>
    </w:rPrDefault>
    <w:pPrDefault>
      <w:pPr>
        <w:spacing w:before="160" w:after="3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313"/>
    <w:rPr>
      <w:color w:val="595959" w:themeColor="text1" w:themeTint="A6"/>
    </w:rPr>
  </w:style>
  <w:style w:type="paragraph" w:styleId="Heading1">
    <w:name w:val="heading 1"/>
    <w:basedOn w:val="Normal"/>
    <w:link w:val="Heading1Char"/>
    <w:uiPriority w:val="9"/>
    <w:qFormat/>
    <w:rsid w:val="00EC5313"/>
    <w:pPr>
      <w:keepNext/>
      <w:keepLines/>
      <w:spacing w:before="240" w:line="240" w:lineRule="auto"/>
      <w:contextualSpacing/>
      <w:outlineLvl w:val="0"/>
    </w:pPr>
    <w:rPr>
      <w:rFonts w:asciiTheme="majorHAnsi" w:eastAsiaTheme="majorEastAsia" w:hAnsiTheme="majorHAnsi" w:cstheme="majorBidi"/>
      <w:caps/>
      <w:color w:val="0072C6" w:themeColor="accent1"/>
      <w:spacing w:val="14"/>
      <w:sz w:val="64"/>
      <w:szCs w:val="32"/>
    </w:rPr>
  </w:style>
  <w:style w:type="paragraph" w:styleId="Heading2">
    <w:name w:val="heading 2"/>
    <w:basedOn w:val="Normal"/>
    <w:link w:val="Heading2Char"/>
    <w:uiPriority w:val="9"/>
    <w:unhideWhenUsed/>
    <w:qFormat/>
    <w:rsid w:val="00EC5313"/>
    <w:pPr>
      <w:keepNext/>
      <w:keepLines/>
      <w:spacing w:after="200" w:line="240" w:lineRule="auto"/>
      <w:contextualSpacing/>
      <w:outlineLvl w:val="1"/>
    </w:pPr>
    <w:rPr>
      <w:rFonts w:asciiTheme="majorHAnsi" w:eastAsiaTheme="majorEastAsia" w:hAnsiTheme="majorHAnsi" w:cstheme="majorBidi"/>
      <w:caps/>
      <w:color w:val="0072C6" w:themeColor="accent1"/>
      <w:spacing w:val="14"/>
      <w:sz w:val="40"/>
      <w:szCs w:val="26"/>
    </w:rPr>
  </w:style>
  <w:style w:type="paragraph" w:styleId="Heading3">
    <w:name w:val="heading 3"/>
    <w:basedOn w:val="Normal"/>
    <w:next w:val="Normal"/>
    <w:link w:val="Heading3Char"/>
    <w:uiPriority w:val="9"/>
    <w:semiHidden/>
    <w:unhideWhenUsed/>
    <w:qFormat/>
    <w:rsid w:val="00C52FC2"/>
    <w:pPr>
      <w:keepNext/>
      <w:keepLines/>
      <w:spacing w:after="240" w:line="240" w:lineRule="auto"/>
      <w:contextualSpacing/>
      <w:outlineLvl w:val="2"/>
    </w:pPr>
    <w:rPr>
      <w:rFonts w:asciiTheme="majorHAnsi" w:eastAsiaTheme="majorEastAsia" w:hAnsiTheme="majorHAnsi" w:cstheme="majorBidi"/>
      <w:color w:val="0072C6" w:themeColor="accent1"/>
      <w:sz w:val="34"/>
    </w:rPr>
  </w:style>
  <w:style w:type="paragraph" w:styleId="Heading4">
    <w:name w:val="heading 4"/>
    <w:basedOn w:val="Normal"/>
    <w:next w:val="Normal"/>
    <w:link w:val="Heading4Char"/>
    <w:uiPriority w:val="9"/>
    <w:semiHidden/>
    <w:unhideWhenUsed/>
    <w:qFormat/>
    <w:rsid w:val="002C3333"/>
    <w:pPr>
      <w:keepNext/>
      <w:keepLines/>
      <w:spacing w:before="80" w:after="40" w:line="256" w:lineRule="auto"/>
      <w:outlineLvl w:val="3"/>
    </w:pPr>
    <w:rPr>
      <w:rFonts w:ascii="Calibri" w:eastAsiaTheme="majorEastAsia" w:hAnsi="Calibri" w:cstheme="majorBidi"/>
      <w:i/>
      <w:iCs/>
      <w:color w:val="005494" w:themeColor="accent1" w:themeShade="BF"/>
      <w:kern w:val="2"/>
      <w:sz w:val="22"/>
      <w:lang w:eastAsia="en-US"/>
      <w14:ligatures w14:val="standardContextual"/>
    </w:rPr>
  </w:style>
  <w:style w:type="paragraph" w:styleId="Heading5">
    <w:name w:val="heading 5"/>
    <w:basedOn w:val="Normal"/>
    <w:next w:val="Normal"/>
    <w:link w:val="Heading5Char"/>
    <w:uiPriority w:val="9"/>
    <w:semiHidden/>
    <w:unhideWhenUsed/>
    <w:qFormat/>
    <w:rsid w:val="002C3333"/>
    <w:pPr>
      <w:keepNext/>
      <w:keepLines/>
      <w:spacing w:before="80" w:after="40" w:line="256" w:lineRule="auto"/>
      <w:outlineLvl w:val="4"/>
    </w:pPr>
    <w:rPr>
      <w:rFonts w:ascii="Calibri" w:eastAsiaTheme="majorEastAsia" w:hAnsi="Calibri" w:cstheme="majorBidi"/>
      <w:color w:val="005494" w:themeColor="accent1" w:themeShade="BF"/>
      <w:kern w:val="2"/>
      <w:sz w:val="22"/>
      <w:lang w:eastAsia="en-US"/>
      <w14:ligatures w14:val="standardContextual"/>
    </w:rPr>
  </w:style>
  <w:style w:type="paragraph" w:styleId="Heading6">
    <w:name w:val="heading 6"/>
    <w:basedOn w:val="Normal"/>
    <w:next w:val="Normal"/>
    <w:link w:val="Heading6Char"/>
    <w:uiPriority w:val="9"/>
    <w:semiHidden/>
    <w:unhideWhenUsed/>
    <w:qFormat/>
    <w:rsid w:val="00FB431B"/>
    <w:pPr>
      <w:keepNext/>
      <w:keepLines/>
      <w:spacing w:before="40" w:after="0"/>
      <w:outlineLvl w:val="5"/>
    </w:pPr>
    <w:rPr>
      <w:rFonts w:asciiTheme="majorHAnsi" w:eastAsiaTheme="majorEastAsia" w:hAnsiTheme="majorHAnsi" w:cstheme="majorBidi"/>
      <w:color w:val="0072C6" w:themeColor="accent1"/>
    </w:rPr>
  </w:style>
  <w:style w:type="paragraph" w:styleId="Heading7">
    <w:name w:val="heading 7"/>
    <w:basedOn w:val="Normal"/>
    <w:next w:val="Normal"/>
    <w:link w:val="Heading7Char"/>
    <w:uiPriority w:val="9"/>
    <w:semiHidden/>
    <w:unhideWhenUsed/>
    <w:qFormat/>
    <w:rsid w:val="00FB431B"/>
    <w:pPr>
      <w:keepNext/>
      <w:keepLines/>
      <w:spacing w:after="180" w:line="240" w:lineRule="auto"/>
      <w:outlineLvl w:val="6"/>
    </w:pPr>
    <w:rPr>
      <w:rFonts w:asciiTheme="majorHAnsi" w:eastAsiaTheme="majorEastAsia" w:hAnsiTheme="majorHAnsi" w:cstheme="majorBidi"/>
      <w:i/>
      <w:iCs/>
      <w:spacing w:val="14"/>
    </w:rPr>
  </w:style>
  <w:style w:type="paragraph" w:styleId="Heading8">
    <w:name w:val="heading 8"/>
    <w:basedOn w:val="Normal"/>
    <w:next w:val="Normal"/>
    <w:link w:val="Heading8Char"/>
    <w:uiPriority w:val="9"/>
    <w:semiHidden/>
    <w:unhideWhenUsed/>
    <w:qFormat/>
    <w:rsid w:val="00FB431B"/>
    <w:pPr>
      <w:keepNext/>
      <w:keepLines/>
      <w:spacing w:after="180" w:line="240" w:lineRule="auto"/>
      <w:outlineLvl w:val="7"/>
    </w:pPr>
    <w:rPr>
      <w:rFonts w:asciiTheme="majorHAnsi" w:eastAsiaTheme="majorEastAsia" w:hAnsiTheme="majorHAnsi" w:cstheme="majorBidi"/>
      <w:spacing w:val="14"/>
      <w:sz w:val="26"/>
      <w:szCs w:val="21"/>
    </w:rPr>
  </w:style>
  <w:style w:type="paragraph" w:styleId="Heading9">
    <w:name w:val="heading 9"/>
    <w:basedOn w:val="Normal"/>
    <w:next w:val="Normal"/>
    <w:link w:val="Heading9Char"/>
    <w:uiPriority w:val="9"/>
    <w:semiHidden/>
    <w:unhideWhenUsed/>
    <w:qFormat/>
    <w:rsid w:val="00FB431B"/>
    <w:pPr>
      <w:keepNext/>
      <w:keepLines/>
      <w:spacing w:after="180" w:line="240" w:lineRule="auto"/>
      <w:outlineLvl w:val="8"/>
    </w:pPr>
    <w:rPr>
      <w:rFonts w:asciiTheme="majorHAnsi" w:eastAsiaTheme="majorEastAsia" w:hAnsiTheme="majorHAnsi" w:cstheme="majorBidi"/>
      <w:i/>
      <w:iCs/>
      <w:spacing w:val="14"/>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3-Accent1">
    <w:name w:val="List Table 3 Accent 1"/>
    <w:basedOn w:val="TableNormal"/>
    <w:uiPriority w:val="48"/>
    <w:pPr>
      <w:spacing w:after="0" w:line="240" w:lineRule="auto"/>
    </w:pPr>
    <w:tblPr>
      <w:tblStyleRowBandSize w:val="1"/>
      <w:tblStyleColBandSize w:val="1"/>
      <w:tblBorders>
        <w:top w:val="single" w:sz="4" w:space="0" w:color="0072C6" w:themeColor="accent1"/>
        <w:left w:val="single" w:sz="4" w:space="0" w:color="0072C6" w:themeColor="accent1"/>
        <w:bottom w:val="single" w:sz="4" w:space="0" w:color="0072C6" w:themeColor="accent1"/>
        <w:right w:val="single" w:sz="4" w:space="0" w:color="0072C6" w:themeColor="accent1"/>
      </w:tblBorders>
    </w:tblPr>
    <w:tblStylePr w:type="firstRow">
      <w:rPr>
        <w:b/>
        <w:bCs/>
        <w:color w:val="FFFFFF" w:themeColor="background1"/>
      </w:rPr>
      <w:tblPr/>
      <w:tcPr>
        <w:shd w:val="clear" w:color="auto" w:fill="0072C6" w:themeFill="accent1"/>
      </w:tcPr>
    </w:tblStylePr>
    <w:tblStylePr w:type="lastRow">
      <w:rPr>
        <w:b/>
        <w:bCs/>
      </w:rPr>
      <w:tblPr/>
      <w:tcPr>
        <w:tcBorders>
          <w:top w:val="double" w:sz="4" w:space="0" w:color="0072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6" w:themeColor="accent1"/>
          <w:right w:val="single" w:sz="4" w:space="0" w:color="0072C6" w:themeColor="accent1"/>
        </w:tcBorders>
      </w:tcPr>
    </w:tblStylePr>
    <w:tblStylePr w:type="band1Horz">
      <w:tblPr/>
      <w:tcPr>
        <w:tcBorders>
          <w:top w:val="single" w:sz="4" w:space="0" w:color="0072C6" w:themeColor="accent1"/>
          <w:bottom w:val="single" w:sz="4" w:space="0" w:color="0072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6" w:themeColor="accent1"/>
          <w:left w:val="nil"/>
        </w:tcBorders>
      </w:tcPr>
    </w:tblStylePr>
    <w:tblStylePr w:type="swCell">
      <w:tblPr/>
      <w:tcPr>
        <w:tcBorders>
          <w:top w:val="double" w:sz="4" w:space="0" w:color="0072C6" w:themeColor="accent1"/>
          <w:right w:val="nil"/>
        </w:tcBorders>
      </w:tcPr>
    </w:tblStylePr>
  </w:style>
  <w:style w:type="paragraph" w:styleId="Title">
    <w:name w:val="Title"/>
    <w:basedOn w:val="Normal"/>
    <w:next w:val="Normal"/>
    <w:link w:val="TitleChar"/>
    <w:uiPriority w:val="10"/>
    <w:unhideWhenUsed/>
    <w:qFormat/>
    <w:rsid w:val="00C52FC2"/>
    <w:pPr>
      <w:spacing w:before="0" w:after="0" w:line="240" w:lineRule="auto"/>
      <w:contextualSpacing/>
    </w:pPr>
    <w:rPr>
      <w:rFonts w:asciiTheme="majorHAnsi" w:eastAsiaTheme="majorEastAsia" w:hAnsiTheme="majorHAnsi" w:cstheme="majorBidi"/>
      <w:caps/>
      <w:color w:val="8A4203" w:themeColor="accent2" w:themeShade="80"/>
      <w:spacing w:val="14"/>
      <w:kern w:val="28"/>
      <w:sz w:val="84"/>
      <w:szCs w:val="56"/>
    </w:rPr>
  </w:style>
  <w:style w:type="character" w:customStyle="1" w:styleId="TitleChar">
    <w:name w:val="Title Char"/>
    <w:basedOn w:val="DefaultParagraphFont"/>
    <w:link w:val="Title"/>
    <w:uiPriority w:val="10"/>
    <w:rsid w:val="00C52FC2"/>
    <w:rPr>
      <w:rFonts w:asciiTheme="majorHAnsi" w:eastAsiaTheme="majorEastAsia" w:hAnsiTheme="majorHAnsi" w:cstheme="majorBidi"/>
      <w:caps/>
      <w:color w:val="8A4203" w:themeColor="accent2" w:themeShade="80"/>
      <w:spacing w:val="14"/>
      <w:kern w:val="28"/>
      <w:sz w:val="84"/>
      <w:szCs w:val="56"/>
    </w:rPr>
  </w:style>
  <w:style w:type="paragraph" w:styleId="Subtitle">
    <w:name w:val="Subtitle"/>
    <w:basedOn w:val="Normal"/>
    <w:next w:val="Normal"/>
    <w:link w:val="SubtitleChar"/>
    <w:uiPriority w:val="11"/>
    <w:unhideWhenUsed/>
    <w:qFormat/>
    <w:pPr>
      <w:numPr>
        <w:ilvl w:val="1"/>
      </w:numPr>
      <w:spacing w:before="0" w:after="720" w:line="240" w:lineRule="auto"/>
      <w:contextualSpacing/>
    </w:pPr>
    <w:rPr>
      <w:rFonts w:eastAsiaTheme="minorEastAsia"/>
      <w:caps/>
      <w:sz w:val="40"/>
      <w:szCs w:val="22"/>
    </w:rPr>
  </w:style>
  <w:style w:type="character" w:customStyle="1" w:styleId="Heading1Char">
    <w:name w:val="Heading 1 Char"/>
    <w:basedOn w:val="DefaultParagraphFont"/>
    <w:link w:val="Heading1"/>
    <w:uiPriority w:val="9"/>
    <w:rsid w:val="00EC5313"/>
    <w:rPr>
      <w:rFonts w:asciiTheme="majorHAnsi" w:eastAsiaTheme="majorEastAsia" w:hAnsiTheme="majorHAnsi" w:cstheme="majorBidi"/>
      <w:caps/>
      <w:color w:val="0072C6" w:themeColor="accent1"/>
      <w:spacing w:val="14"/>
      <w:sz w:val="64"/>
      <w:szCs w:val="32"/>
    </w:rPr>
  </w:style>
  <w:style w:type="character" w:customStyle="1" w:styleId="Heading2Char">
    <w:name w:val="Heading 2 Char"/>
    <w:basedOn w:val="DefaultParagraphFont"/>
    <w:link w:val="Heading2"/>
    <w:uiPriority w:val="9"/>
    <w:rsid w:val="00EC5313"/>
    <w:rPr>
      <w:rFonts w:asciiTheme="majorHAnsi" w:eastAsiaTheme="majorEastAsia" w:hAnsiTheme="majorHAnsi" w:cstheme="majorBidi"/>
      <w:caps/>
      <w:color w:val="0072C6" w:themeColor="accent1"/>
      <w:spacing w:val="14"/>
      <w:sz w:val="40"/>
      <w:szCs w:val="26"/>
    </w:rPr>
  </w:style>
  <w:style w:type="paragraph" w:styleId="ListBullet">
    <w:name w:val="List Bullet"/>
    <w:basedOn w:val="Normal"/>
    <w:uiPriority w:val="31"/>
    <w:qFormat/>
    <w:pPr>
      <w:numPr>
        <w:numId w:val="2"/>
      </w:numPr>
      <w:contextualSpacing/>
    </w:pPr>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IntenseQuote">
    <w:name w:val="Intense Quote"/>
    <w:basedOn w:val="Normal"/>
    <w:next w:val="Normal"/>
    <w:link w:val="IntenseQuoteChar"/>
    <w:uiPriority w:val="30"/>
    <w:unhideWhenUsed/>
    <w:qFormat/>
    <w:rsid w:val="00C52FC2"/>
    <w:pPr>
      <w:spacing w:before="360" w:after="560" w:line="264" w:lineRule="auto"/>
      <w:ind w:left="605" w:right="605"/>
      <w:contextualSpacing/>
    </w:pPr>
    <w:rPr>
      <w:rFonts w:asciiTheme="majorHAnsi" w:hAnsiTheme="majorHAnsi"/>
      <w:i/>
      <w:iCs/>
      <w:color w:val="8A4203" w:themeColor="accent2" w:themeShade="80"/>
      <w:sz w:val="32"/>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usinessPaper">
    <w:name w:val="Business Paper"/>
    <w:basedOn w:val="TableNormal"/>
    <w:uiPriority w:val="99"/>
    <w:pPr>
      <w:spacing w:before="240" w:after="180" w:line="240" w:lineRule="auto"/>
    </w:pPr>
    <w:rPr>
      <w:b/>
    </w:rPr>
    <w:tblPr>
      <w:tblBorders>
        <w:bottom w:val="single" w:sz="6" w:space="0" w:color="0072C6" w:themeColor="accent1"/>
        <w:insideH w:val="single" w:sz="6" w:space="0" w:color="0072C6" w:themeColor="accent1"/>
      </w:tblBorders>
      <w:tblCellMar>
        <w:left w:w="230" w:type="dxa"/>
        <w:right w:w="0" w:type="dxa"/>
      </w:tblCellMar>
    </w:tblPr>
    <w:tblStylePr w:type="firstRow">
      <w:pPr>
        <w:wordWrap/>
        <w:spacing w:beforeLines="0" w:before="200" w:beforeAutospacing="0" w:afterLines="0" w:after="160" w:afterAutospacing="0"/>
      </w:pPr>
      <w:rPr>
        <w:b/>
        <w:i w:val="0"/>
        <w:color w:val="FDF9F7" w:themeColor="background2"/>
        <w:sz w:val="28"/>
      </w:rPr>
      <w:tblPr/>
      <w:trPr>
        <w:tblHeader/>
      </w:trPr>
      <w:tcPr>
        <w:tcBorders>
          <w:top w:val="nil"/>
          <w:left w:val="nil"/>
          <w:bottom w:val="nil"/>
          <w:right w:val="nil"/>
          <w:insideH w:val="nil"/>
          <w:insideV w:val="nil"/>
          <w:tl2br w:val="nil"/>
          <w:tr2bl w:val="nil"/>
        </w:tcBorders>
        <w:shd w:val="clear" w:color="auto" w:fill="0072C6" w:themeFill="accent1"/>
        <w:vAlign w:val="bottom"/>
      </w:tcPr>
    </w:tblStylePr>
    <w:tblStylePr w:type="firstCol">
      <w:pPr>
        <w:wordWrap/>
        <w:spacing w:beforeLines="0" w:before="240" w:beforeAutospacing="0" w:afterLines="0" w:after="180" w:afterAutospacing="0"/>
        <w:jc w:val="right"/>
      </w:pPr>
      <w:rPr>
        <w:rFonts w:asciiTheme="majorHAnsi" w:hAnsiTheme="majorHAnsi"/>
        <w:b w:val="0"/>
        <w:i w:val="0"/>
        <w:color w:val="0072C6" w:themeColor="accent1"/>
        <w:sz w:val="24"/>
      </w:rPr>
    </w:tblStylePr>
    <w:tblStylePr w:type="nwCell">
      <w:pPr>
        <w:wordWrap/>
        <w:jc w:val="left"/>
      </w:pPr>
    </w:tblStylePr>
  </w:style>
  <w:style w:type="character" w:customStyle="1" w:styleId="SubtitleChar">
    <w:name w:val="Subtitle Char"/>
    <w:basedOn w:val="DefaultParagraphFont"/>
    <w:link w:val="Subtitle"/>
    <w:uiPriority w:val="11"/>
    <w:rPr>
      <w:rFonts w:eastAsiaTheme="minorEastAsia"/>
      <w:caps/>
      <w:sz w:val="40"/>
      <w:szCs w:val="2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spacing w:val="1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pacing w:val="14"/>
      <w:sz w:val="26"/>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pacing w:val="14"/>
      <w:sz w:val="26"/>
      <w:szCs w:val="21"/>
    </w:rPr>
  </w:style>
  <w:style w:type="character" w:styleId="SubtleEmphasis">
    <w:name w:val="Subtle Emphasis"/>
    <w:basedOn w:val="DefaultParagraphFont"/>
    <w:uiPriority w:val="19"/>
    <w:semiHidden/>
    <w:unhideWhenUsed/>
    <w:qFormat/>
    <w:rPr>
      <w:i/>
      <w:iCs/>
      <w:color w:val="0072C6" w:themeColor="accent1"/>
    </w:rPr>
  </w:style>
  <w:style w:type="character" w:styleId="Emphasis">
    <w:name w:val="Emphasis"/>
    <w:basedOn w:val="DefaultParagraphFont"/>
    <w:uiPriority w:val="20"/>
    <w:semiHidden/>
    <w:unhideWhenUsed/>
    <w:qFormat/>
    <w:rsid w:val="00C52FC2"/>
    <w:rPr>
      <w:i/>
      <w:iCs/>
      <w:color w:val="8A4203" w:themeColor="accent2" w:themeShade="80"/>
    </w:rPr>
  </w:style>
  <w:style w:type="character" w:styleId="IntenseEmphasis">
    <w:name w:val="Intense Emphasis"/>
    <w:basedOn w:val="DefaultParagraphFont"/>
    <w:uiPriority w:val="21"/>
    <w:unhideWhenUsed/>
    <w:qFormat/>
    <w:rsid w:val="00C52FC2"/>
    <w:rPr>
      <w:b/>
      <w:i/>
      <w:iCs/>
      <w:color w:val="8A4203" w:themeColor="accent2" w:themeShade="80"/>
    </w:rPr>
  </w:style>
  <w:style w:type="character" w:styleId="Strong">
    <w:name w:val="Strong"/>
    <w:basedOn w:val="DefaultParagraphFont"/>
    <w:uiPriority w:val="22"/>
    <w:semiHidden/>
    <w:unhideWhenUsed/>
    <w:qFormat/>
    <w:rPr>
      <w:b/>
      <w:bCs/>
      <w:color w:val="0072C6" w:themeColor="accent1"/>
    </w:rPr>
  </w:style>
  <w:style w:type="character" w:styleId="SubtleReference">
    <w:name w:val="Subtle Reference"/>
    <w:basedOn w:val="DefaultParagraphFont"/>
    <w:uiPriority w:val="31"/>
    <w:semiHidden/>
    <w:unhideWhenUsed/>
    <w:qFormat/>
    <w:rPr>
      <w:i/>
      <w:caps/>
      <w:smallCaps w:val="0"/>
      <w:color w:val="0072C6" w:themeColor="accent1"/>
    </w:rPr>
  </w:style>
  <w:style w:type="character" w:styleId="IntenseReference">
    <w:name w:val="Intense Reference"/>
    <w:basedOn w:val="DefaultParagraphFont"/>
    <w:uiPriority w:val="32"/>
    <w:unhideWhenUsed/>
    <w:qFormat/>
    <w:rPr>
      <w:b/>
      <w:bCs/>
      <w:i/>
      <w:caps/>
      <w:smallCaps w:val="0"/>
      <w:color w:val="0072C6" w:themeColor="accent1"/>
      <w:spacing w:val="0"/>
    </w:rPr>
  </w:style>
  <w:style w:type="character" w:styleId="BookTitle">
    <w:name w:val="Book Title"/>
    <w:basedOn w:val="DefaultParagraphFont"/>
    <w:uiPriority w:val="33"/>
    <w:semiHidden/>
    <w:unhideWhenUsed/>
    <w:qFormat/>
    <w:rPr>
      <w:b w:val="0"/>
      <w:bCs/>
      <w:i w:val="0"/>
      <w:iCs/>
      <w:color w:val="0072C6" w:themeColor="accent1"/>
      <w:spacing w:val="0"/>
      <w:u w:val="single"/>
    </w:rPr>
  </w:style>
  <w:style w:type="paragraph" w:styleId="Caption">
    <w:name w:val="caption"/>
    <w:basedOn w:val="Normal"/>
    <w:next w:val="Normal"/>
    <w:uiPriority w:val="35"/>
    <w:semiHidden/>
    <w:unhideWhenUsed/>
    <w:qFormat/>
    <w:rsid w:val="00FB431B"/>
    <w:pPr>
      <w:spacing w:after="200" w:line="240" w:lineRule="auto"/>
    </w:pPr>
    <w:rPr>
      <w:i/>
      <w:iCs/>
      <w:sz w:val="22"/>
      <w:szCs w:val="18"/>
    </w:rPr>
  </w:style>
  <w:style w:type="paragraph" w:styleId="TOCHeading">
    <w:name w:val="TOC Heading"/>
    <w:basedOn w:val="Heading1"/>
    <w:next w:val="Normal"/>
    <w:uiPriority w:val="39"/>
    <w:unhideWhenUsed/>
    <w:qFormat/>
    <w:pPr>
      <w:spacing w:after="0" w:line="360" w:lineRule="auto"/>
      <w:outlineLvl w:val="9"/>
    </w:pPr>
    <w:rPr>
      <w:sz w:val="84"/>
    </w:rPr>
  </w:style>
  <w:style w:type="character" w:styleId="PlaceholderText">
    <w:name w:val="Placeholder Text"/>
    <w:basedOn w:val="DefaultParagraphFont"/>
    <w:uiPriority w:val="99"/>
    <w:semiHidden/>
    <w:rsid w:val="00EC0F68"/>
    <w:rPr>
      <w:color w:val="595959" w:themeColor="text1" w:themeTint="A6"/>
    </w:rPr>
  </w:style>
  <w:style w:type="paragraph" w:styleId="Footer">
    <w:name w:val="footer"/>
    <w:basedOn w:val="Normal"/>
    <w:link w:val="FooterChar"/>
    <w:uiPriority w:val="99"/>
    <w:unhideWhenUsed/>
    <w:pPr>
      <w:pBdr>
        <w:top w:val="single" w:sz="4" w:space="8" w:color="0072C6" w:themeColor="accent1"/>
        <w:left w:val="single" w:sz="4" w:space="31" w:color="0072C6" w:themeColor="accent1"/>
        <w:bottom w:val="single" w:sz="4" w:space="8" w:color="0072C6" w:themeColor="accent1"/>
        <w:right w:val="single" w:sz="4" w:space="31" w:color="0072C6" w:themeColor="accent1"/>
      </w:pBdr>
      <w:shd w:val="clear" w:color="auto" w:fill="0072C6" w:themeFill="accent1"/>
      <w:spacing w:before="0" w:after="0" w:line="240" w:lineRule="auto"/>
    </w:pPr>
    <w:rPr>
      <w:color w:val="FFFFFF" w:themeColor="background1"/>
    </w:rPr>
  </w:style>
  <w:style w:type="character" w:customStyle="1" w:styleId="FooterChar">
    <w:name w:val="Footer Char"/>
    <w:basedOn w:val="DefaultParagraphFont"/>
    <w:link w:val="Footer"/>
    <w:uiPriority w:val="99"/>
    <w:rPr>
      <w:color w:val="FFFFFF" w:themeColor="background1"/>
      <w:shd w:val="clear" w:color="auto" w:fill="0072C6" w:themeFill="accent1"/>
    </w:rPr>
  </w:style>
  <w:style w:type="paragraph" w:styleId="Quote">
    <w:name w:val="Quote"/>
    <w:basedOn w:val="Normal"/>
    <w:next w:val="Normal"/>
    <w:link w:val="QuoteChar"/>
    <w:uiPriority w:val="29"/>
    <w:unhideWhenUsed/>
    <w:qFormat/>
    <w:pPr>
      <w:spacing w:before="360" w:after="560" w:line="264" w:lineRule="auto"/>
      <w:ind w:left="605" w:right="605"/>
      <w:contextualSpacing/>
    </w:pPr>
    <w:rPr>
      <w:rFonts w:asciiTheme="majorHAnsi" w:hAnsiTheme="majorHAnsi"/>
      <w:i/>
      <w:iCs/>
      <w:color w:val="0072C6" w:themeColor="accent1"/>
      <w:sz w:val="40"/>
    </w:rPr>
  </w:style>
  <w:style w:type="character" w:customStyle="1" w:styleId="QuoteChar">
    <w:name w:val="Quote Char"/>
    <w:basedOn w:val="DefaultParagraphFont"/>
    <w:link w:val="Quote"/>
    <w:uiPriority w:val="29"/>
    <w:rPr>
      <w:rFonts w:asciiTheme="majorHAnsi" w:hAnsiTheme="majorHAnsi"/>
      <w:i/>
      <w:iCs/>
      <w:color w:val="0072C6" w:themeColor="accent1"/>
      <w:sz w:val="40"/>
    </w:rPr>
  </w:style>
  <w:style w:type="character" w:customStyle="1" w:styleId="IntenseQuoteChar">
    <w:name w:val="Intense Quote Char"/>
    <w:basedOn w:val="DefaultParagraphFont"/>
    <w:link w:val="IntenseQuote"/>
    <w:uiPriority w:val="30"/>
    <w:rsid w:val="00C52FC2"/>
    <w:rPr>
      <w:rFonts w:asciiTheme="majorHAnsi" w:hAnsiTheme="majorHAnsi"/>
      <w:i/>
      <w:iCs/>
      <w:color w:val="8A4203" w:themeColor="accent2" w:themeShade="80"/>
      <w:sz w:val="32"/>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0072C6" w:themeColor="accent1"/>
      <w:sz w:val="34"/>
    </w:rPr>
  </w:style>
  <w:style w:type="paragraph" w:styleId="ListNumber">
    <w:name w:val="List Number"/>
    <w:basedOn w:val="Normal"/>
    <w:uiPriority w:val="32"/>
    <w:qFormat/>
    <w:pPr>
      <w:numPr>
        <w:numId w:val="1"/>
      </w:numPr>
      <w:contextualSpacing/>
    </w:p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0072C6" w:themeColor="accent1"/>
    </w:rPr>
  </w:style>
  <w:style w:type="paragraph" w:styleId="BalloonText">
    <w:name w:val="Balloon Text"/>
    <w:basedOn w:val="Normal"/>
    <w:link w:val="BalloonTextChar"/>
    <w:uiPriority w:val="99"/>
    <w:semiHidden/>
    <w:unhideWhenUsed/>
    <w:rsid w:val="00FB431B"/>
    <w:pPr>
      <w:spacing w:before="0"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B431B"/>
    <w:rPr>
      <w:rFonts w:ascii="Segoe UI" w:hAnsi="Segoe UI" w:cs="Segoe UI"/>
      <w:color w:val="595959" w:themeColor="text1" w:themeTint="A6"/>
      <w:sz w:val="22"/>
      <w:szCs w:val="18"/>
    </w:rPr>
  </w:style>
  <w:style w:type="paragraph" w:styleId="BodyText3">
    <w:name w:val="Body Text 3"/>
    <w:basedOn w:val="Normal"/>
    <w:link w:val="BodyText3Char"/>
    <w:uiPriority w:val="99"/>
    <w:semiHidden/>
    <w:unhideWhenUsed/>
    <w:rsid w:val="00FB431B"/>
    <w:pPr>
      <w:spacing w:after="120"/>
    </w:pPr>
    <w:rPr>
      <w:sz w:val="22"/>
      <w:szCs w:val="16"/>
    </w:rPr>
  </w:style>
  <w:style w:type="character" w:customStyle="1" w:styleId="BodyText3Char">
    <w:name w:val="Body Text 3 Char"/>
    <w:basedOn w:val="DefaultParagraphFont"/>
    <w:link w:val="BodyText3"/>
    <w:uiPriority w:val="99"/>
    <w:semiHidden/>
    <w:rsid w:val="00FB431B"/>
    <w:rPr>
      <w:color w:val="595959" w:themeColor="text1" w:themeTint="A6"/>
      <w:sz w:val="22"/>
      <w:szCs w:val="16"/>
    </w:rPr>
  </w:style>
  <w:style w:type="character" w:styleId="CommentReference">
    <w:name w:val="annotation reference"/>
    <w:basedOn w:val="DefaultParagraphFont"/>
    <w:uiPriority w:val="99"/>
    <w:semiHidden/>
    <w:unhideWhenUsed/>
    <w:rsid w:val="00FB431B"/>
    <w:rPr>
      <w:sz w:val="22"/>
      <w:szCs w:val="16"/>
    </w:rPr>
  </w:style>
  <w:style w:type="paragraph" w:styleId="CommentText">
    <w:name w:val="annotation text"/>
    <w:basedOn w:val="Normal"/>
    <w:link w:val="CommentTextChar"/>
    <w:uiPriority w:val="99"/>
    <w:semiHidden/>
    <w:unhideWhenUsed/>
    <w:rsid w:val="00FB431B"/>
    <w:pPr>
      <w:spacing w:line="240" w:lineRule="auto"/>
    </w:pPr>
    <w:rPr>
      <w:sz w:val="22"/>
      <w:szCs w:val="20"/>
    </w:rPr>
  </w:style>
  <w:style w:type="character" w:customStyle="1" w:styleId="CommentTextChar">
    <w:name w:val="Comment Text Char"/>
    <w:basedOn w:val="DefaultParagraphFont"/>
    <w:link w:val="CommentText"/>
    <w:uiPriority w:val="99"/>
    <w:semiHidden/>
    <w:rsid w:val="00FB431B"/>
    <w:rPr>
      <w:color w:val="595959" w:themeColor="text1" w:themeTint="A6"/>
      <w:sz w:val="22"/>
      <w:szCs w:val="20"/>
    </w:rPr>
  </w:style>
  <w:style w:type="paragraph" w:styleId="CommentSubject">
    <w:name w:val="annotation subject"/>
    <w:basedOn w:val="CommentText"/>
    <w:next w:val="CommentText"/>
    <w:link w:val="CommentSubjectChar"/>
    <w:uiPriority w:val="99"/>
    <w:semiHidden/>
    <w:unhideWhenUsed/>
    <w:rsid w:val="00FB431B"/>
    <w:rPr>
      <w:b/>
      <w:bCs/>
    </w:rPr>
  </w:style>
  <w:style w:type="character" w:customStyle="1" w:styleId="CommentSubjectChar">
    <w:name w:val="Comment Subject Char"/>
    <w:basedOn w:val="CommentTextChar"/>
    <w:link w:val="CommentSubject"/>
    <w:uiPriority w:val="99"/>
    <w:semiHidden/>
    <w:rsid w:val="00FB431B"/>
    <w:rPr>
      <w:b/>
      <w:bCs/>
      <w:color w:val="595959" w:themeColor="text1" w:themeTint="A6"/>
      <w:sz w:val="22"/>
      <w:szCs w:val="20"/>
    </w:rPr>
  </w:style>
  <w:style w:type="paragraph" w:styleId="DocumentMap">
    <w:name w:val="Document Map"/>
    <w:basedOn w:val="Normal"/>
    <w:link w:val="DocumentMapChar"/>
    <w:uiPriority w:val="99"/>
    <w:semiHidden/>
    <w:unhideWhenUsed/>
    <w:rsid w:val="00FB431B"/>
    <w:pPr>
      <w:spacing w:before="0"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B431B"/>
    <w:rPr>
      <w:rFonts w:ascii="Segoe UI" w:hAnsi="Segoe UI" w:cs="Segoe UI"/>
      <w:color w:val="595959" w:themeColor="text1" w:themeTint="A6"/>
      <w:sz w:val="22"/>
      <w:szCs w:val="16"/>
    </w:rPr>
  </w:style>
  <w:style w:type="paragraph" w:styleId="EndnoteText">
    <w:name w:val="endnote text"/>
    <w:basedOn w:val="Normal"/>
    <w:link w:val="EndnoteTextChar"/>
    <w:uiPriority w:val="99"/>
    <w:semiHidden/>
    <w:unhideWhenUsed/>
    <w:rsid w:val="00FB431B"/>
    <w:pPr>
      <w:spacing w:before="0" w:after="0" w:line="240" w:lineRule="auto"/>
    </w:pPr>
    <w:rPr>
      <w:sz w:val="22"/>
      <w:szCs w:val="20"/>
    </w:rPr>
  </w:style>
  <w:style w:type="character" w:customStyle="1" w:styleId="EndnoteTextChar">
    <w:name w:val="Endnote Text Char"/>
    <w:basedOn w:val="DefaultParagraphFont"/>
    <w:link w:val="EndnoteText"/>
    <w:uiPriority w:val="99"/>
    <w:semiHidden/>
    <w:rsid w:val="00FB431B"/>
    <w:rPr>
      <w:color w:val="595959" w:themeColor="text1" w:themeTint="A6"/>
      <w:sz w:val="22"/>
      <w:szCs w:val="20"/>
    </w:rPr>
  </w:style>
  <w:style w:type="paragraph" w:styleId="EnvelopeReturn">
    <w:name w:val="envelope return"/>
    <w:basedOn w:val="Normal"/>
    <w:uiPriority w:val="99"/>
    <w:semiHidden/>
    <w:unhideWhenUsed/>
    <w:rsid w:val="00FB431B"/>
    <w:pPr>
      <w:spacing w:before="0" w:after="0"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FB431B"/>
    <w:pPr>
      <w:spacing w:before="0" w:after="0" w:line="240" w:lineRule="auto"/>
    </w:pPr>
    <w:rPr>
      <w:sz w:val="22"/>
      <w:szCs w:val="20"/>
    </w:rPr>
  </w:style>
  <w:style w:type="character" w:customStyle="1" w:styleId="FootnoteTextChar">
    <w:name w:val="Footnote Text Char"/>
    <w:basedOn w:val="DefaultParagraphFont"/>
    <w:link w:val="FootnoteText"/>
    <w:uiPriority w:val="99"/>
    <w:semiHidden/>
    <w:rsid w:val="00FB431B"/>
    <w:rPr>
      <w:color w:val="595959" w:themeColor="text1" w:themeTint="A6"/>
      <w:sz w:val="22"/>
      <w:szCs w:val="20"/>
    </w:rPr>
  </w:style>
  <w:style w:type="character" w:styleId="HTMLCode">
    <w:name w:val="HTML Code"/>
    <w:basedOn w:val="DefaultParagraphFont"/>
    <w:uiPriority w:val="99"/>
    <w:semiHidden/>
    <w:unhideWhenUsed/>
    <w:rsid w:val="00FB431B"/>
    <w:rPr>
      <w:rFonts w:ascii="Consolas" w:hAnsi="Consolas"/>
      <w:sz w:val="22"/>
      <w:szCs w:val="20"/>
    </w:rPr>
  </w:style>
  <w:style w:type="character" w:styleId="HTMLKeyboard">
    <w:name w:val="HTML Keyboard"/>
    <w:basedOn w:val="DefaultParagraphFont"/>
    <w:uiPriority w:val="99"/>
    <w:semiHidden/>
    <w:unhideWhenUsed/>
    <w:rsid w:val="00FB431B"/>
    <w:rPr>
      <w:rFonts w:ascii="Consolas" w:hAnsi="Consolas"/>
      <w:sz w:val="22"/>
      <w:szCs w:val="20"/>
    </w:rPr>
  </w:style>
  <w:style w:type="paragraph" w:styleId="HTMLPreformatted">
    <w:name w:val="HTML Preformatted"/>
    <w:basedOn w:val="Normal"/>
    <w:link w:val="HTMLPreformattedChar"/>
    <w:uiPriority w:val="99"/>
    <w:semiHidden/>
    <w:unhideWhenUsed/>
    <w:rsid w:val="00FB431B"/>
    <w:pPr>
      <w:spacing w:before="0"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FB431B"/>
    <w:rPr>
      <w:rFonts w:ascii="Consolas" w:hAnsi="Consolas"/>
      <w:color w:val="595959" w:themeColor="text1" w:themeTint="A6"/>
      <w:sz w:val="22"/>
      <w:szCs w:val="20"/>
    </w:rPr>
  </w:style>
  <w:style w:type="character" w:styleId="HTMLTypewriter">
    <w:name w:val="HTML Typewriter"/>
    <w:basedOn w:val="DefaultParagraphFont"/>
    <w:uiPriority w:val="99"/>
    <w:semiHidden/>
    <w:unhideWhenUsed/>
    <w:rsid w:val="00FB431B"/>
    <w:rPr>
      <w:rFonts w:ascii="Consolas" w:hAnsi="Consolas"/>
      <w:sz w:val="22"/>
      <w:szCs w:val="20"/>
    </w:rPr>
  </w:style>
  <w:style w:type="paragraph" w:styleId="MacroText">
    <w:name w:val="macro"/>
    <w:link w:val="MacroTextChar"/>
    <w:uiPriority w:val="99"/>
    <w:semiHidden/>
    <w:unhideWhenUsed/>
    <w:rsid w:val="00FB431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595959" w:themeColor="text1" w:themeTint="A6"/>
      <w:sz w:val="22"/>
      <w:szCs w:val="20"/>
    </w:rPr>
  </w:style>
  <w:style w:type="character" w:customStyle="1" w:styleId="MacroTextChar">
    <w:name w:val="Macro Text Char"/>
    <w:basedOn w:val="DefaultParagraphFont"/>
    <w:link w:val="MacroText"/>
    <w:uiPriority w:val="99"/>
    <w:semiHidden/>
    <w:rsid w:val="00FB431B"/>
    <w:rPr>
      <w:rFonts w:ascii="Consolas" w:hAnsi="Consolas"/>
      <w:color w:val="595959" w:themeColor="text1" w:themeTint="A6"/>
      <w:sz w:val="22"/>
      <w:szCs w:val="20"/>
    </w:rPr>
  </w:style>
  <w:style w:type="paragraph" w:styleId="PlainText">
    <w:name w:val="Plain Text"/>
    <w:basedOn w:val="Normal"/>
    <w:link w:val="PlainTextChar"/>
    <w:uiPriority w:val="99"/>
    <w:semiHidden/>
    <w:unhideWhenUsed/>
    <w:rsid w:val="00FB431B"/>
    <w:pPr>
      <w:spacing w:before="0"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FB431B"/>
    <w:rPr>
      <w:rFonts w:ascii="Consolas" w:hAnsi="Consolas"/>
      <w:color w:val="595959" w:themeColor="text1" w:themeTint="A6"/>
      <w:sz w:val="22"/>
      <w:szCs w:val="21"/>
    </w:rPr>
  </w:style>
  <w:style w:type="paragraph" w:styleId="BodyTextIndent3">
    <w:name w:val="Body Text Indent 3"/>
    <w:basedOn w:val="Normal"/>
    <w:link w:val="BodyTextIndent3Char"/>
    <w:uiPriority w:val="99"/>
    <w:semiHidden/>
    <w:unhideWhenUsed/>
    <w:rsid w:val="00EC0F68"/>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EC0F68"/>
    <w:rPr>
      <w:color w:val="595959" w:themeColor="text1" w:themeTint="A6"/>
      <w:sz w:val="22"/>
      <w:szCs w:val="16"/>
    </w:rPr>
  </w:style>
  <w:style w:type="character" w:styleId="Hyperlink">
    <w:name w:val="Hyperlink"/>
    <w:basedOn w:val="DefaultParagraphFont"/>
    <w:uiPriority w:val="99"/>
    <w:unhideWhenUsed/>
    <w:rsid w:val="007141F1"/>
    <w:rPr>
      <w:color w:val="0072C6" w:themeColor="hyperlink"/>
      <w:u w:val="single"/>
    </w:rPr>
  </w:style>
  <w:style w:type="character" w:styleId="UnresolvedMention">
    <w:name w:val="Unresolved Mention"/>
    <w:basedOn w:val="DefaultParagraphFont"/>
    <w:uiPriority w:val="99"/>
    <w:semiHidden/>
    <w:unhideWhenUsed/>
    <w:rsid w:val="007141F1"/>
    <w:rPr>
      <w:color w:val="605E5C"/>
      <w:shd w:val="clear" w:color="auto" w:fill="E1DFDD"/>
    </w:rPr>
  </w:style>
  <w:style w:type="paragraph" w:styleId="ListParagraph">
    <w:name w:val="List Paragraph"/>
    <w:basedOn w:val="Normal"/>
    <w:uiPriority w:val="34"/>
    <w:unhideWhenUsed/>
    <w:qFormat/>
    <w:rsid w:val="00EE693E"/>
    <w:pPr>
      <w:ind w:left="720"/>
      <w:contextualSpacing/>
    </w:pPr>
  </w:style>
  <w:style w:type="paragraph" w:styleId="TOC1">
    <w:name w:val="toc 1"/>
    <w:basedOn w:val="Normal"/>
    <w:next w:val="Normal"/>
    <w:autoRedefine/>
    <w:uiPriority w:val="39"/>
    <w:unhideWhenUsed/>
    <w:rsid w:val="00AA020F"/>
    <w:pPr>
      <w:spacing w:after="100"/>
    </w:pPr>
  </w:style>
  <w:style w:type="paragraph" w:styleId="TOC2">
    <w:name w:val="toc 2"/>
    <w:basedOn w:val="Normal"/>
    <w:next w:val="Normal"/>
    <w:autoRedefine/>
    <w:uiPriority w:val="39"/>
    <w:unhideWhenUsed/>
    <w:rsid w:val="001912B6"/>
    <w:pPr>
      <w:tabs>
        <w:tab w:val="left" w:pos="960"/>
        <w:tab w:val="right" w:leader="dot" w:pos="10910"/>
      </w:tabs>
      <w:spacing w:after="100"/>
      <w:ind w:left="240"/>
    </w:pPr>
    <w:rPr>
      <w:rFonts w:cstheme="minorHAnsi"/>
      <w:noProof/>
      <w:color w:val="auto"/>
    </w:rPr>
  </w:style>
  <w:style w:type="character" w:styleId="FollowedHyperlink">
    <w:name w:val="FollowedHyperlink"/>
    <w:basedOn w:val="DefaultParagraphFont"/>
    <w:uiPriority w:val="99"/>
    <w:semiHidden/>
    <w:unhideWhenUsed/>
    <w:rsid w:val="00876749"/>
    <w:rPr>
      <w:color w:val="79498B" w:themeColor="followedHyperlink"/>
      <w:u w:val="single"/>
    </w:rPr>
  </w:style>
  <w:style w:type="paragraph" w:styleId="Revision">
    <w:name w:val="Revision"/>
    <w:hidden/>
    <w:uiPriority w:val="99"/>
    <w:semiHidden/>
    <w:rsid w:val="00B82622"/>
    <w:pPr>
      <w:spacing w:before="0" w:after="0" w:line="240" w:lineRule="auto"/>
    </w:pPr>
    <w:rPr>
      <w:color w:val="595959" w:themeColor="text1" w:themeTint="A6"/>
    </w:rPr>
  </w:style>
  <w:style w:type="character" w:customStyle="1" w:styleId="Heading4Char">
    <w:name w:val="Heading 4 Char"/>
    <w:basedOn w:val="DefaultParagraphFont"/>
    <w:link w:val="Heading4"/>
    <w:uiPriority w:val="9"/>
    <w:semiHidden/>
    <w:rsid w:val="002C3333"/>
    <w:rPr>
      <w:rFonts w:ascii="Calibri" w:eastAsiaTheme="majorEastAsia" w:hAnsi="Calibri" w:cstheme="majorBidi"/>
      <w:i/>
      <w:iCs/>
      <w:color w:val="005494" w:themeColor="accent1" w:themeShade="BF"/>
      <w:kern w:val="2"/>
      <w:sz w:val="22"/>
      <w:lang w:eastAsia="en-US"/>
      <w14:ligatures w14:val="standardContextual"/>
    </w:rPr>
  </w:style>
  <w:style w:type="character" w:customStyle="1" w:styleId="Heading5Char">
    <w:name w:val="Heading 5 Char"/>
    <w:basedOn w:val="DefaultParagraphFont"/>
    <w:link w:val="Heading5"/>
    <w:uiPriority w:val="9"/>
    <w:semiHidden/>
    <w:rsid w:val="002C3333"/>
    <w:rPr>
      <w:rFonts w:ascii="Calibri" w:eastAsiaTheme="majorEastAsia" w:hAnsi="Calibri" w:cstheme="majorBidi"/>
      <w:color w:val="005494" w:themeColor="accent1" w:themeShade="BF"/>
      <w:kern w:val="2"/>
      <w:sz w:val="22"/>
      <w:lang w:eastAsia="en-US"/>
      <w14:ligatures w14:val="standardContextual"/>
    </w:rPr>
  </w:style>
  <w:style w:type="paragraph" w:customStyle="1" w:styleId="msonormal0">
    <w:name w:val="msonormal"/>
    <w:basedOn w:val="Normal"/>
    <w:rsid w:val="002C3333"/>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footnotedescriptionChar">
    <w:name w:val="footnote description Char"/>
    <w:link w:val="footnotedescription"/>
    <w:locked/>
    <w:rsid w:val="002C3333"/>
    <w:rPr>
      <w:rFonts w:ascii="Times New Roman" w:eastAsia="Times New Roman" w:hAnsi="Times New Roman" w:cs="Times New Roman"/>
      <w:color w:val="000000"/>
      <w:sz w:val="14"/>
    </w:rPr>
  </w:style>
  <w:style w:type="paragraph" w:customStyle="1" w:styleId="footnotedescription">
    <w:name w:val="footnote description"/>
    <w:next w:val="Normal"/>
    <w:link w:val="footnotedescriptionChar"/>
    <w:rsid w:val="002C3333"/>
    <w:pPr>
      <w:spacing w:before="0" w:after="0" w:line="256" w:lineRule="auto"/>
      <w:ind w:left="204"/>
    </w:pPr>
    <w:rPr>
      <w:rFonts w:ascii="Times New Roman" w:eastAsia="Times New Roman" w:hAnsi="Times New Roman" w:cs="Times New Roman"/>
      <w:color w:val="000000"/>
      <w:sz w:val="14"/>
    </w:rPr>
  </w:style>
  <w:style w:type="character" w:customStyle="1" w:styleId="footnotemark">
    <w:name w:val="footnote mark"/>
    <w:rsid w:val="002C3333"/>
    <w:rPr>
      <w:rFonts w:ascii="Times New Roman" w:eastAsia="Times New Roman" w:hAnsi="Times New Roman" w:cs="Times New Roman" w:hint="default"/>
      <w:color w:val="000000"/>
      <w:sz w:val="14"/>
      <w:vertAlign w:val="superscript"/>
    </w:rPr>
  </w:style>
  <w:style w:type="table" w:customStyle="1" w:styleId="TableGrid0">
    <w:name w:val="TableGrid"/>
    <w:rsid w:val="002C3333"/>
    <w:pPr>
      <w:spacing w:before="0" w:after="0" w:line="240" w:lineRule="auto"/>
    </w:pPr>
    <w:rPr>
      <w:rFonts w:eastAsiaTheme="minorEastAsia"/>
      <w:color w:val="auto"/>
      <w:kern w:val="2"/>
      <w:lang w:eastAsia="en-US"/>
      <w14:ligatures w14:val="standardContextual"/>
    </w:rPr>
    <w:tblPr>
      <w:tblCellMar>
        <w:top w:w="0" w:type="dxa"/>
        <w:left w:w="0" w:type="dxa"/>
        <w:bottom w:w="0" w:type="dxa"/>
        <w:right w:w="0" w:type="dxa"/>
      </w:tblCellMar>
    </w:tblPr>
  </w:style>
  <w:style w:type="paragraph" w:styleId="TOC3">
    <w:name w:val="toc 3"/>
    <w:basedOn w:val="Normal"/>
    <w:next w:val="Normal"/>
    <w:autoRedefine/>
    <w:uiPriority w:val="39"/>
    <w:unhideWhenUsed/>
    <w:rsid w:val="00B632AC"/>
    <w:pPr>
      <w:spacing w:before="0" w:after="100" w:line="278" w:lineRule="auto"/>
      <w:ind w:left="480"/>
    </w:pPr>
    <w:rPr>
      <w:rFonts w:eastAsiaTheme="minorEastAsia"/>
      <w:color w:val="auto"/>
      <w:kern w:val="2"/>
      <w:lang w:eastAsia="en-US"/>
      <w14:ligatures w14:val="standardContextual"/>
    </w:rPr>
  </w:style>
  <w:style w:type="paragraph" w:styleId="TOC4">
    <w:name w:val="toc 4"/>
    <w:basedOn w:val="Normal"/>
    <w:next w:val="Normal"/>
    <w:autoRedefine/>
    <w:uiPriority w:val="39"/>
    <w:unhideWhenUsed/>
    <w:rsid w:val="00B632AC"/>
    <w:pPr>
      <w:spacing w:before="0" w:after="100" w:line="278" w:lineRule="auto"/>
      <w:ind w:left="720"/>
    </w:pPr>
    <w:rPr>
      <w:rFonts w:eastAsiaTheme="minorEastAsia"/>
      <w:color w:val="auto"/>
      <w:kern w:val="2"/>
      <w:lang w:eastAsia="en-US"/>
      <w14:ligatures w14:val="standardContextual"/>
    </w:rPr>
  </w:style>
  <w:style w:type="paragraph" w:styleId="TOC5">
    <w:name w:val="toc 5"/>
    <w:basedOn w:val="Normal"/>
    <w:next w:val="Normal"/>
    <w:autoRedefine/>
    <w:uiPriority w:val="39"/>
    <w:unhideWhenUsed/>
    <w:rsid w:val="00B632AC"/>
    <w:pPr>
      <w:spacing w:before="0" w:after="100" w:line="278" w:lineRule="auto"/>
      <w:ind w:left="960"/>
    </w:pPr>
    <w:rPr>
      <w:rFonts w:eastAsiaTheme="minorEastAsia"/>
      <w:color w:val="auto"/>
      <w:kern w:val="2"/>
      <w:lang w:eastAsia="en-US"/>
      <w14:ligatures w14:val="standardContextual"/>
    </w:rPr>
  </w:style>
  <w:style w:type="paragraph" w:styleId="TOC6">
    <w:name w:val="toc 6"/>
    <w:basedOn w:val="Normal"/>
    <w:next w:val="Normal"/>
    <w:autoRedefine/>
    <w:uiPriority w:val="39"/>
    <w:unhideWhenUsed/>
    <w:rsid w:val="00B632AC"/>
    <w:pPr>
      <w:spacing w:before="0" w:after="100" w:line="278" w:lineRule="auto"/>
      <w:ind w:left="1200"/>
    </w:pPr>
    <w:rPr>
      <w:rFonts w:eastAsiaTheme="minorEastAsia"/>
      <w:color w:val="auto"/>
      <w:kern w:val="2"/>
      <w:lang w:eastAsia="en-US"/>
      <w14:ligatures w14:val="standardContextual"/>
    </w:rPr>
  </w:style>
  <w:style w:type="paragraph" w:styleId="TOC7">
    <w:name w:val="toc 7"/>
    <w:basedOn w:val="Normal"/>
    <w:next w:val="Normal"/>
    <w:autoRedefine/>
    <w:uiPriority w:val="39"/>
    <w:unhideWhenUsed/>
    <w:rsid w:val="00B632AC"/>
    <w:pPr>
      <w:spacing w:before="0" w:after="100" w:line="278" w:lineRule="auto"/>
      <w:ind w:left="1440"/>
    </w:pPr>
    <w:rPr>
      <w:rFonts w:eastAsiaTheme="minorEastAsia"/>
      <w:color w:val="auto"/>
      <w:kern w:val="2"/>
      <w:lang w:eastAsia="en-US"/>
      <w14:ligatures w14:val="standardContextual"/>
    </w:rPr>
  </w:style>
  <w:style w:type="paragraph" w:styleId="TOC8">
    <w:name w:val="toc 8"/>
    <w:basedOn w:val="Normal"/>
    <w:next w:val="Normal"/>
    <w:autoRedefine/>
    <w:uiPriority w:val="39"/>
    <w:unhideWhenUsed/>
    <w:rsid w:val="00B632AC"/>
    <w:pPr>
      <w:spacing w:before="0" w:after="100" w:line="278" w:lineRule="auto"/>
      <w:ind w:left="1680"/>
    </w:pPr>
    <w:rPr>
      <w:rFonts w:eastAsiaTheme="minorEastAsia"/>
      <w:color w:val="auto"/>
      <w:kern w:val="2"/>
      <w:lang w:eastAsia="en-US"/>
      <w14:ligatures w14:val="standardContextual"/>
    </w:rPr>
  </w:style>
  <w:style w:type="paragraph" w:styleId="TOC9">
    <w:name w:val="toc 9"/>
    <w:basedOn w:val="Normal"/>
    <w:next w:val="Normal"/>
    <w:autoRedefine/>
    <w:uiPriority w:val="39"/>
    <w:unhideWhenUsed/>
    <w:rsid w:val="00B632AC"/>
    <w:pPr>
      <w:spacing w:before="0" w:after="100" w:line="278" w:lineRule="auto"/>
      <w:ind w:left="1920"/>
    </w:pPr>
    <w:rPr>
      <w:rFonts w:eastAsiaTheme="minorEastAsia"/>
      <w:color w:val="auto"/>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170104">
      <w:bodyDiv w:val="1"/>
      <w:marLeft w:val="0"/>
      <w:marRight w:val="0"/>
      <w:marTop w:val="0"/>
      <w:marBottom w:val="0"/>
      <w:divBdr>
        <w:top w:val="none" w:sz="0" w:space="0" w:color="auto"/>
        <w:left w:val="none" w:sz="0" w:space="0" w:color="auto"/>
        <w:bottom w:val="none" w:sz="0" w:space="0" w:color="auto"/>
        <w:right w:val="none" w:sz="0" w:space="0" w:color="auto"/>
      </w:divBdr>
    </w:div>
    <w:div w:id="144384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ve-nhsc.pantheonsite.io/wp-content/uploads/2024/08/Student-Handbook-2024-25-FINAL.pdf" TargetMode="External"/><Relationship Id="rId18" Type="http://schemas.openxmlformats.org/officeDocument/2006/relationships/hyperlink" Target="http://www.nhsc.edu" TargetMode="External"/><Relationship Id="rId26" Type="http://schemas.openxmlformats.org/officeDocument/2006/relationships/hyperlink" Target="http://www.nhsc.edu/students/campus-security/" TargetMode="External"/><Relationship Id="rId39" Type="http://schemas.openxmlformats.org/officeDocument/2006/relationships/hyperlink" Target="http://www.drugabuse.gov/drugs-abuse/commonly-abused-drugs-charts" TargetMode="External"/><Relationship Id="rId21" Type="http://schemas.openxmlformats.org/officeDocument/2006/relationships/hyperlink" Target="http://www.nhsc.edu" TargetMode="External"/><Relationship Id="rId34" Type="http://schemas.openxmlformats.org/officeDocument/2006/relationships/hyperlink" Target="http://www.drugabuse.gov/drugs-abuse/commonly-abused-drugs-charts" TargetMode="External"/><Relationship Id="rId42" Type="http://schemas.openxmlformats.org/officeDocument/2006/relationships/hyperlink" Target="http://www.drugabuse.gov/drugs-abuse/commonly-abused-drugs-charts" TargetMode="External"/><Relationship Id="rId47" Type="http://schemas.openxmlformats.org/officeDocument/2006/relationships/image" Target="media/image2.pn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hsc.edu" TargetMode="External"/><Relationship Id="rId29" Type="http://schemas.openxmlformats.org/officeDocument/2006/relationships/hyperlink" Target="http://www.sexoffender.nd.gov" TargetMode="External"/><Relationship Id="rId11" Type="http://schemas.openxmlformats.org/officeDocument/2006/relationships/hyperlink" Target="http://www.nhsc.edu/students/campus-security/" TargetMode="External"/><Relationship Id="rId24" Type="http://schemas.openxmlformats.org/officeDocument/2006/relationships/hyperlink" Target="mailto:cfrank@nhsc.edu" TargetMode="External"/><Relationship Id="rId32" Type="http://schemas.openxmlformats.org/officeDocument/2006/relationships/hyperlink" Target="http://www.drugabuse.gov/drugs-abuse/commonly-abused-drugs-charts" TargetMode="External"/><Relationship Id="rId37" Type="http://schemas.openxmlformats.org/officeDocument/2006/relationships/hyperlink" Target="http://www.drugabuse.gov/drugs-abuse/commonly-abused-drugs-charts" TargetMode="External"/><Relationship Id="rId40" Type="http://schemas.openxmlformats.org/officeDocument/2006/relationships/hyperlink" Target="http://www.drugabuse.gov/drugs-abuse/commonly-abused-drugs-charts" TargetMode="External"/><Relationship Id="rId45" Type="http://schemas.openxmlformats.org/officeDocument/2006/relationships/hyperlink" Target="http://www.myfirstlink.org"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mailto:dcarter@nhsc.edu" TargetMode="External"/><Relationship Id="rId31" Type="http://schemas.openxmlformats.org/officeDocument/2006/relationships/hyperlink" Target="http://www.drugabuse.gov/drugs-abuse/commonly-abused-drugs-charts" TargetMode="External"/><Relationship Id="rId44" Type="http://schemas.openxmlformats.org/officeDocument/2006/relationships/hyperlink" Target="http://www.suicidepreventionlifeline.org"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nhsc.edu" TargetMode="External"/><Relationship Id="rId14" Type="http://schemas.openxmlformats.org/officeDocument/2006/relationships/hyperlink" Target="http://www.nhsc.edu/students/campus-security/" TargetMode="External"/><Relationship Id="rId22" Type="http://schemas.openxmlformats.org/officeDocument/2006/relationships/hyperlink" Target="https://live-nhsc.pantheonsite.io/wp-content/uploads/2024/08/Student-Handbook-2024-25-FINAL.pdf" TargetMode="External"/><Relationship Id="rId27" Type="http://schemas.openxmlformats.org/officeDocument/2006/relationships/hyperlink" Target="mailto:Cfrank@nhsc.edu" TargetMode="External"/><Relationship Id="rId30" Type="http://schemas.openxmlformats.org/officeDocument/2006/relationships/hyperlink" Target="http://www.sexoffender.nd.gov" TargetMode="External"/><Relationship Id="rId35" Type="http://schemas.openxmlformats.org/officeDocument/2006/relationships/hyperlink" Target="http://www.drugabuse.gov/drugs-abuse/commonly-abused-drugs-charts" TargetMode="External"/><Relationship Id="rId43" Type="http://schemas.openxmlformats.org/officeDocument/2006/relationships/hyperlink" Target="http://www.mentalhealth.va.gov"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nhsc.edu/students/campus-security/" TargetMode="External"/><Relationship Id="rId17" Type="http://schemas.openxmlformats.org/officeDocument/2006/relationships/hyperlink" Target="http://www.nhsc.edu" TargetMode="External"/><Relationship Id="rId25" Type="http://schemas.openxmlformats.org/officeDocument/2006/relationships/hyperlink" Target="mailto:Cfrank@nhsc.edu" TargetMode="External"/><Relationship Id="rId33" Type="http://schemas.openxmlformats.org/officeDocument/2006/relationships/hyperlink" Target="http://www.drugabuse.gov/drugs-abuse/commonly-abused-drugs-charts" TargetMode="External"/><Relationship Id="rId38" Type="http://schemas.openxmlformats.org/officeDocument/2006/relationships/hyperlink" Target="http://www.drugabuse.gov/drugs-abuse/commonly-abused-drugs-charts" TargetMode="External"/><Relationship Id="rId46" Type="http://schemas.openxmlformats.org/officeDocument/2006/relationships/hyperlink" Target="http://www.legis.nd.gov/cencode/t12-1c17.pdf" TargetMode="External"/><Relationship Id="rId20" Type="http://schemas.openxmlformats.org/officeDocument/2006/relationships/hyperlink" Target="http://www.nhsc.edu" TargetMode="External"/><Relationship Id="rId41" Type="http://schemas.openxmlformats.org/officeDocument/2006/relationships/hyperlink" Target="http://www.drugabuse.gov/drugs-abuse/commonly-abused-drugs-chart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hsc.edu/students/campus-security/" TargetMode="External"/><Relationship Id="rId23" Type="http://schemas.openxmlformats.org/officeDocument/2006/relationships/hyperlink" Target="https://nhsc.edu/students/campus-security/" TargetMode="External"/><Relationship Id="rId28" Type="http://schemas.openxmlformats.org/officeDocument/2006/relationships/hyperlink" Target="https://nhsc.edu/wp-content/uploads/2023/09/Student-Handbook-2023-24.pdf" TargetMode="External"/><Relationship Id="rId36" Type="http://schemas.openxmlformats.org/officeDocument/2006/relationships/hyperlink" Target="http://www.drugabuse.gov/drugs-abuse/commonly-abused-drugs-charts" TargetMode="External"/><Relationship Id="rId4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nine\AppData\Roaming\Microsoft\Templates\Business%20paper.dotx" TargetMode="External"/></Relationships>
</file>

<file path=word/theme/theme1.xml><?xml version="1.0" encoding="utf-8"?>
<a:theme xmlns:a="http://schemas.openxmlformats.org/drawingml/2006/main" name="Office Theme">
  <a:themeElements>
    <a:clrScheme name="Business">
      <a:dk1>
        <a:sysClr val="windowText" lastClr="000000"/>
      </a:dk1>
      <a:lt1>
        <a:sysClr val="window" lastClr="FFFFFF"/>
      </a:lt1>
      <a:dk2>
        <a:srgbClr val="0C1227"/>
      </a:dk2>
      <a:lt2>
        <a:srgbClr val="FDF9F7"/>
      </a:lt2>
      <a:accent1>
        <a:srgbClr val="0072C6"/>
      </a:accent1>
      <a:accent2>
        <a:srgbClr val="F98723"/>
      </a:accent2>
      <a:accent3>
        <a:srgbClr val="DC3C00"/>
      </a:accent3>
      <a:accent4>
        <a:srgbClr val="F9CB23"/>
      </a:accent4>
      <a:accent5>
        <a:srgbClr val="009E49"/>
      </a:accent5>
      <a:accent6>
        <a:srgbClr val="79498B"/>
      </a:accent6>
      <a:hlink>
        <a:srgbClr val="0072C6"/>
      </a:hlink>
      <a:folHlink>
        <a:srgbClr val="79498B"/>
      </a:folHlink>
    </a:clrScheme>
    <a:fontScheme name="Georgia-Arial">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9F26D-D061-4C81-A730-3D0F28956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paper</Template>
  <TotalTime>1</TotalTime>
  <Pages>175</Pages>
  <Words>51222</Words>
  <Characters>290431</Characters>
  <Application>Microsoft Office Word</Application>
  <DocSecurity>0</DocSecurity>
  <Lines>6179</Lines>
  <Paragraphs>2823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Ninemire</dc:creator>
  <cp:keywords/>
  <dc:description/>
  <cp:lastModifiedBy>Jennifer Janecek-Hartman</cp:lastModifiedBy>
  <cp:revision>2</cp:revision>
  <cp:lastPrinted>2024-08-05T20:00:00Z</cp:lastPrinted>
  <dcterms:created xsi:type="dcterms:W3CDTF">2025-09-17T20:44:00Z</dcterms:created>
  <dcterms:modified xsi:type="dcterms:W3CDTF">2025-09-17T20:44:00Z</dcterms:modified>
</cp:coreProperties>
</file>